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9</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23F61" w:rsidRDefault="009424C3" w:rsidP="00DC6F18">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DC6F18" w:rsidP="00897DAF">
            <w:pPr>
              <w:suppressLineNumbers/>
              <w:rPr>
                <w:rFonts w:ascii="Arial" w:hAnsi="Arial"/>
                <w:b/>
                <w:bCs/>
                <w:noProof w:val="0"/>
                <w:sz w:val="26"/>
                <w:szCs w:val="26"/>
                <w:rtl/>
              </w:rPr>
            </w:pPr>
            <w:r>
              <w:rPr>
                <w:rFonts w:ascii="Arial" w:hAnsi="Arial" w:hint="cs"/>
                <w:b/>
                <w:bCs/>
                <w:noProof w:val="0"/>
                <w:sz w:val="26"/>
                <w:szCs w:val="26"/>
                <w:rtl/>
              </w:rPr>
              <w:t>אלמוני</w:t>
            </w:r>
          </w:p>
          <w:p w:rsidR="00DC6F18" w:rsidRDefault="00DC6F18" w:rsidP="00897DAF">
            <w:pPr>
              <w:suppressLineNumbers/>
              <w:rPr>
                <w:b/>
                <w:bCs/>
                <w:noProof w:val="0"/>
                <w:sz w:val="26"/>
                <w:szCs w:val="26"/>
              </w:rPr>
            </w:pPr>
            <w:r>
              <w:rPr>
                <w:rFonts w:hint="cs"/>
                <w:b/>
                <w:bCs/>
                <w:noProof w:val="0"/>
                <w:sz w:val="26"/>
                <w:szCs w:val="26"/>
                <w:rtl/>
              </w:rPr>
              <w:t>ע"י ב"כ עו"ד מעין אספיר</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Pr="00DC6F18" w:rsidRDefault="000A7BAA" w:rsidP="00B336BA">
            <w:pPr>
              <w:suppressLineNumbers/>
              <w:rPr>
                <w:rFonts w:ascii="Arial" w:hAnsi="Arial"/>
                <w:b/>
                <w:bCs/>
                <w:noProof w:val="0"/>
                <w:sz w:val="26"/>
                <w:szCs w:val="26"/>
              </w:rPr>
            </w:pPr>
            <w:sdt>
              <w:sdtPr>
                <w:rPr>
                  <w:b/>
                  <w:bCs/>
                  <w:rtl/>
                </w:rPr>
                <w:alias w:val="1184"/>
                <w:tag w:val="1184"/>
                <w:id w:val="-340621022"/>
                <w:text w:multiLine="1"/>
              </w:sdtPr>
              <w:sdtEndPr/>
              <w:sdtContent>
                <w:r w:rsidR="00064651" w:rsidRPr="00DC6F18">
                  <w:rPr>
                    <w:rFonts w:ascii="Arial" w:hAnsi="Arial"/>
                    <w:b/>
                    <w:bCs/>
                    <w:noProof w:val="0"/>
                    <w:sz w:val="26"/>
                    <w:szCs w:val="26"/>
                    <w:rtl/>
                  </w:rPr>
                  <w:t>משיב</w:t>
                </w:r>
                <w:r w:rsidR="00B336BA" w:rsidRPr="00DC6F18">
                  <w:rPr>
                    <w:rFonts w:ascii="Arial" w:hAnsi="Arial" w:hint="cs"/>
                    <w:b/>
                    <w:bCs/>
                    <w:noProof w:val="0"/>
                    <w:sz w:val="26"/>
                    <w:szCs w:val="26"/>
                    <w:rtl/>
                  </w:rPr>
                  <w:t>ה</w:t>
                </w:r>
              </w:sdtContent>
            </w:sdt>
          </w:p>
        </w:tc>
        <w:tc>
          <w:tcPr>
            <w:tcW w:w="5571" w:type="dxa"/>
            <w:gridSpan w:val="2"/>
          </w:tcPr>
          <w:p w:rsidR="00DC6F18" w:rsidRPr="00DC6F18" w:rsidRDefault="00DC6F18" w:rsidP="00897DAF">
            <w:pPr>
              <w:suppressLineNumbers/>
              <w:rPr>
                <w:b/>
                <w:bCs/>
                <w:rtl/>
              </w:rPr>
            </w:pPr>
            <w:r w:rsidRPr="00DC6F18">
              <w:rPr>
                <w:rFonts w:hint="cs"/>
                <w:b/>
                <w:bCs/>
                <w:rtl/>
              </w:rPr>
              <w:t>פלונית</w:t>
            </w:r>
          </w:p>
          <w:p w:rsidR="0094424E" w:rsidRPr="00DC6F18" w:rsidRDefault="00DC6F18" w:rsidP="00897DAF">
            <w:pPr>
              <w:suppressLineNumbers/>
              <w:rPr>
                <w:rFonts w:ascii="Arial" w:hAnsi="Arial"/>
                <w:b/>
                <w:bCs/>
                <w:noProof w:val="0"/>
                <w:sz w:val="26"/>
                <w:szCs w:val="26"/>
                <w:rtl/>
              </w:rPr>
            </w:pPr>
            <w:r w:rsidRPr="00DC6F18">
              <w:rPr>
                <w:rFonts w:hint="cs"/>
                <w:b/>
                <w:bCs/>
                <w:rtl/>
              </w:rPr>
              <w:t>ע"י ב"כ עו"ד אביטל קזלו</w:t>
            </w:r>
          </w:p>
          <w:p w:rsidR="00CF6BB7" w:rsidRPr="00DC6F18" w:rsidRDefault="00CF6BB7" w:rsidP="00D44968">
            <w:pPr>
              <w:suppressLineNumbers/>
              <w:rPr>
                <w:b/>
                <w:bCs/>
                <w:noProof w:val="0"/>
                <w:sz w:val="26"/>
                <w:szCs w:val="26"/>
                <w:rtl/>
              </w:rPr>
            </w:pPr>
          </w:p>
        </w:tc>
      </w:tr>
      <w:tr w:rsidR="004C17EE" w:rsidTr="00D620FD">
        <w:trPr>
          <w:jc w:val="center"/>
        </w:trPr>
        <w:tc>
          <w:tcPr>
            <w:tcW w:w="8820" w:type="dxa"/>
            <w:gridSpan w:val="4"/>
          </w:tcPr>
          <w:p w:rsidR="00D23F61" w:rsidRDefault="00D23F6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B336BA" w:rsidTr="00010320">
        <w:trPr>
          <w:jc w:val="center"/>
        </w:trPr>
        <w:tc>
          <w:tcPr>
            <w:tcW w:w="3249" w:type="dxa"/>
          </w:tcPr>
          <w:p w:rsidR="00B336BA" w:rsidRDefault="00B336BA" w:rsidP="00B336BA">
            <w:pPr>
              <w:bidi w:val="0"/>
              <w:rPr>
                <w:rFonts w:ascii="Arial" w:hAnsi="Arial"/>
                <w:b/>
                <w:bCs/>
                <w:noProof w:val="0"/>
                <w:sz w:val="26"/>
                <w:szCs w:val="26"/>
              </w:rPr>
            </w:pPr>
          </w:p>
        </w:tc>
        <w:tc>
          <w:tcPr>
            <w:tcW w:w="5571" w:type="dxa"/>
          </w:tcPr>
          <w:p w:rsidR="00B336BA" w:rsidRDefault="00B336BA" w:rsidP="00010320">
            <w:pPr>
              <w:suppressLineNumbers/>
              <w:rPr>
                <w:b/>
                <w:bCs/>
                <w:noProof w:val="0"/>
                <w:sz w:val="26"/>
                <w:szCs w:val="26"/>
                <w:rtl/>
              </w:rPr>
            </w:pPr>
          </w:p>
        </w:tc>
      </w:tr>
      <w:tr w:rsidR="00B336BA" w:rsidTr="00010320">
        <w:trPr>
          <w:jc w:val="center"/>
        </w:trPr>
        <w:tc>
          <w:tcPr>
            <w:tcW w:w="8820" w:type="dxa"/>
            <w:gridSpan w:val="2"/>
          </w:tcPr>
          <w:p w:rsidR="00B336BA" w:rsidRDefault="00B336BA" w:rsidP="00010320">
            <w:pPr>
              <w:suppressLineNumbers/>
              <w:rPr>
                <w:rtl/>
              </w:rPr>
            </w:pPr>
          </w:p>
        </w:tc>
      </w:tr>
    </w:tbl>
    <w:p w:rsidR="00B336BA" w:rsidRDefault="00B336BA" w:rsidP="00B336B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336BA" w:rsidRPr="00DE1E7D" w:rsidTr="00010320">
        <w:trPr>
          <w:jc w:val="center"/>
        </w:trPr>
        <w:tc>
          <w:tcPr>
            <w:tcW w:w="8820" w:type="dxa"/>
          </w:tcPr>
          <w:p w:rsidR="00B336BA" w:rsidRDefault="00B336BA" w:rsidP="00010320">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B336BA" w:rsidRPr="00D44968" w:rsidRDefault="00B336BA" w:rsidP="00010320">
            <w:pPr>
              <w:bidi w:val="0"/>
              <w:jc w:val="center"/>
              <w:rPr>
                <w:rFonts w:ascii="Arial" w:hAnsi="Arial"/>
                <w:b/>
                <w:bCs/>
                <w:noProof w:val="0"/>
                <w:sz w:val="28"/>
                <w:szCs w:val="28"/>
                <w:u w:val="single"/>
              </w:rPr>
            </w:pPr>
          </w:p>
        </w:tc>
      </w:tr>
    </w:tbl>
    <w:p w:rsidR="00B336BA" w:rsidRPr="00DE1E7D" w:rsidRDefault="00B336BA" w:rsidP="00B336BA">
      <w:pPr>
        <w:spacing w:line="360" w:lineRule="auto"/>
        <w:jc w:val="both"/>
        <w:rPr>
          <w:rFonts w:ascii="Arial" w:hAnsi="Arial"/>
          <w:noProof w:val="0"/>
          <w:rtl/>
        </w:rPr>
      </w:pPr>
    </w:p>
    <w:p w:rsidR="00B336BA" w:rsidRPr="00E53EE2" w:rsidRDefault="00B336BA" w:rsidP="009424C3">
      <w:pPr>
        <w:spacing w:line="360" w:lineRule="auto"/>
        <w:jc w:val="both"/>
        <w:rPr>
          <w:rFonts w:ascii="David" w:hAnsi="David"/>
          <w:noProof w:val="0"/>
          <w:rtl/>
        </w:rPr>
      </w:pPr>
      <w:r w:rsidRPr="00E53EE2">
        <w:rPr>
          <w:rFonts w:ascii="David" w:hAnsi="David"/>
          <w:noProof w:val="0"/>
          <w:rtl/>
        </w:rPr>
        <w:t>בפני בקשת המבקש (התובע) לפסילת המותב ולהעברת הדיון בתיק זה למותב אחר.</w:t>
      </w:r>
    </w:p>
    <w:p w:rsidR="00B336BA" w:rsidRDefault="00B336BA" w:rsidP="009424C3">
      <w:pPr>
        <w:spacing w:line="360" w:lineRule="auto"/>
        <w:jc w:val="both"/>
        <w:rPr>
          <w:rFonts w:ascii="David" w:hAnsi="David"/>
          <w:noProof w:val="0"/>
          <w:rtl/>
        </w:rPr>
      </w:pPr>
      <w:r>
        <w:rPr>
          <w:rFonts w:ascii="David" w:hAnsi="David" w:hint="cs"/>
          <w:noProof w:val="0"/>
          <w:rtl/>
        </w:rPr>
        <w:t xml:space="preserve">כבר בשלב זה ייאמר כי </w:t>
      </w:r>
      <w:r w:rsidRPr="00E53EE2">
        <w:rPr>
          <w:rFonts w:ascii="David" w:hAnsi="David"/>
          <w:noProof w:val="0"/>
          <w:rtl/>
        </w:rPr>
        <w:t xml:space="preserve">לאחר שעיינתי בטענות הצדדים </w:t>
      </w:r>
      <w:r>
        <w:rPr>
          <w:rFonts w:ascii="David" w:hAnsi="David" w:hint="cs"/>
          <w:noProof w:val="0"/>
          <w:rtl/>
        </w:rPr>
        <w:t>לא מצאתי להיעתר למבוקש ו</w:t>
      </w:r>
      <w:r w:rsidRPr="00E53EE2">
        <w:rPr>
          <w:rFonts w:ascii="David" w:hAnsi="David"/>
          <w:noProof w:val="0"/>
          <w:rtl/>
        </w:rPr>
        <w:t>דין הבקשה להידחות.</w:t>
      </w:r>
    </w:p>
    <w:p w:rsidR="00B336BA" w:rsidRDefault="00B336BA" w:rsidP="00B336BA">
      <w:pPr>
        <w:spacing w:after="160" w:line="360" w:lineRule="auto"/>
        <w:jc w:val="both"/>
        <w:rPr>
          <w:rFonts w:ascii="David" w:hAnsi="David"/>
          <w:b/>
          <w:bCs/>
          <w:noProof w:val="0"/>
          <w:rtl/>
        </w:rPr>
      </w:pPr>
    </w:p>
    <w:p w:rsidR="00B336BA" w:rsidRPr="004A3265" w:rsidRDefault="00B336BA" w:rsidP="00B336BA">
      <w:pPr>
        <w:spacing w:after="160" w:line="360" w:lineRule="auto"/>
        <w:rPr>
          <w:rFonts w:ascii="David" w:hAnsi="David"/>
          <w:b/>
          <w:bCs/>
          <w:noProof w:val="0"/>
          <w:rtl/>
        </w:rPr>
      </w:pPr>
      <w:r w:rsidRPr="004A3265">
        <w:rPr>
          <w:rFonts w:ascii="David" w:hAnsi="David" w:hint="cs"/>
          <w:b/>
          <w:bCs/>
          <w:noProof w:val="0"/>
          <w:rtl/>
        </w:rPr>
        <w:t xml:space="preserve">רקע </w:t>
      </w:r>
      <w:r>
        <w:rPr>
          <w:rFonts w:ascii="David" w:hAnsi="David" w:hint="cs"/>
          <w:b/>
          <w:bCs/>
          <w:noProof w:val="0"/>
          <w:rtl/>
        </w:rPr>
        <w:t>בתמצית</w:t>
      </w:r>
    </w:p>
    <w:p w:rsidR="00B336BA" w:rsidRDefault="00B336BA" w:rsidP="00B336BA">
      <w:pPr>
        <w:pStyle w:val="ad"/>
        <w:numPr>
          <w:ilvl w:val="0"/>
          <w:numId w:val="1"/>
        </w:numPr>
        <w:spacing w:after="160" w:line="360" w:lineRule="auto"/>
        <w:rPr>
          <w:rFonts w:ascii="David" w:hAnsi="David"/>
          <w:noProof w:val="0"/>
        </w:rPr>
      </w:pPr>
      <w:r w:rsidRPr="00F34F6D">
        <w:rPr>
          <w:rFonts w:ascii="David" w:hAnsi="David"/>
          <w:noProof w:val="0"/>
          <w:rtl/>
        </w:rPr>
        <w:t>בין הצדדים להליך זה התקיי</w:t>
      </w:r>
      <w:r w:rsidRPr="00F34F6D">
        <w:rPr>
          <w:rFonts w:ascii="David" w:hAnsi="David" w:hint="cs"/>
          <w:noProof w:val="0"/>
          <w:rtl/>
        </w:rPr>
        <w:t>מו</w:t>
      </w:r>
      <w:r>
        <w:rPr>
          <w:rFonts w:ascii="David" w:hAnsi="David" w:hint="cs"/>
          <w:noProof w:val="0"/>
          <w:rtl/>
        </w:rPr>
        <w:t xml:space="preserve"> בפני שלושה</w:t>
      </w:r>
      <w:r w:rsidRPr="00F34F6D">
        <w:rPr>
          <w:rFonts w:ascii="David" w:hAnsi="David" w:hint="cs"/>
          <w:noProof w:val="0"/>
          <w:rtl/>
        </w:rPr>
        <w:t xml:space="preserve"> הליכי י"ס </w:t>
      </w:r>
      <w:r>
        <w:rPr>
          <w:rFonts w:ascii="David" w:hAnsi="David" w:hint="cs"/>
          <w:noProof w:val="0"/>
          <w:rtl/>
        </w:rPr>
        <w:t>שנסגרו</w:t>
      </w:r>
      <w:r w:rsidRPr="00F34F6D">
        <w:rPr>
          <w:rFonts w:ascii="David" w:hAnsi="David" w:hint="cs"/>
          <w:noProof w:val="0"/>
          <w:rtl/>
        </w:rPr>
        <w:t xml:space="preserve"> (21465-02-20, 26675-10-22, 11399-09-23)</w:t>
      </w:r>
      <w:r>
        <w:rPr>
          <w:rFonts w:ascii="David" w:hAnsi="David" w:hint="cs"/>
          <w:noProof w:val="0"/>
          <w:rtl/>
        </w:rPr>
        <w:t>. כיום מתנהלת בפני תביעת התובע לביטול מזונות (תלה"מ 62463-02-24).</w:t>
      </w:r>
    </w:p>
    <w:p w:rsidR="00924FF6" w:rsidRDefault="00924FF6" w:rsidP="00924FF6">
      <w:pPr>
        <w:pStyle w:val="ad"/>
        <w:spacing w:after="160" w:line="360" w:lineRule="auto"/>
        <w:ind w:left="360"/>
        <w:rPr>
          <w:rFonts w:ascii="David" w:hAnsi="David"/>
          <w:noProof w:val="0"/>
        </w:rPr>
      </w:pPr>
    </w:p>
    <w:p w:rsidR="00B336BA" w:rsidRDefault="00B336BA" w:rsidP="009424C3">
      <w:pPr>
        <w:pStyle w:val="ad"/>
        <w:numPr>
          <w:ilvl w:val="0"/>
          <w:numId w:val="1"/>
        </w:numPr>
        <w:spacing w:after="160" w:line="360" w:lineRule="auto"/>
        <w:rPr>
          <w:rFonts w:ascii="David" w:hAnsi="David"/>
          <w:noProof w:val="0"/>
        </w:rPr>
      </w:pPr>
      <w:r w:rsidRPr="00F34F6D">
        <w:rPr>
          <w:rFonts w:ascii="David" w:hAnsi="David"/>
          <w:noProof w:val="0"/>
          <w:rtl/>
        </w:rPr>
        <w:t xml:space="preserve"> </w:t>
      </w:r>
      <w:r>
        <w:rPr>
          <w:rFonts w:ascii="David" w:hAnsi="David" w:hint="cs"/>
          <w:noProof w:val="0"/>
          <w:rtl/>
        </w:rPr>
        <w:t>בנוסף, התובע</w:t>
      </w:r>
      <w:r w:rsidR="009424C3">
        <w:rPr>
          <w:rFonts w:ascii="David" w:hAnsi="David" w:hint="cs"/>
          <w:noProof w:val="0"/>
          <w:rtl/>
        </w:rPr>
        <w:t xml:space="preserve"> הגיש</w:t>
      </w:r>
      <w:r>
        <w:rPr>
          <w:rFonts w:ascii="David" w:hAnsi="David" w:hint="cs"/>
          <w:noProof w:val="0"/>
          <w:rtl/>
        </w:rPr>
        <w:t xml:space="preserve"> ערעור על החלטת רשמת הוצאה לפועל בגין החלטתה מיום 2.4.24 </w:t>
      </w:r>
      <w:r w:rsidR="009424C3">
        <w:rPr>
          <w:rFonts w:ascii="David" w:hAnsi="David" w:hint="cs"/>
          <w:noProof w:val="0"/>
          <w:rtl/>
        </w:rPr>
        <w:t>ב</w:t>
      </w:r>
      <w:r>
        <w:rPr>
          <w:rFonts w:ascii="David" w:hAnsi="David" w:hint="cs"/>
          <w:noProof w:val="0"/>
          <w:rtl/>
        </w:rPr>
        <w:t>עניין הוצאות רפואיות (ע"ר 35370-04-24).</w:t>
      </w:r>
    </w:p>
    <w:p w:rsidR="00924FF6" w:rsidRPr="00924FF6" w:rsidRDefault="00924FF6" w:rsidP="00924FF6">
      <w:pPr>
        <w:pStyle w:val="ad"/>
        <w:rPr>
          <w:rFonts w:ascii="David" w:hAnsi="David"/>
          <w:noProof w:val="0"/>
          <w:rtl/>
        </w:rPr>
      </w:pPr>
    </w:p>
    <w:p w:rsidR="00B336BA" w:rsidRDefault="00B336BA" w:rsidP="00F0744F">
      <w:pPr>
        <w:pStyle w:val="ad"/>
        <w:numPr>
          <w:ilvl w:val="0"/>
          <w:numId w:val="1"/>
        </w:numPr>
        <w:spacing w:after="160" w:line="360" w:lineRule="auto"/>
        <w:rPr>
          <w:rFonts w:ascii="David" w:hAnsi="David"/>
          <w:noProof w:val="0"/>
        </w:rPr>
      </w:pPr>
      <w:r>
        <w:rPr>
          <w:rFonts w:ascii="David" w:hAnsi="David" w:hint="cs"/>
          <w:noProof w:val="0"/>
          <w:rtl/>
        </w:rPr>
        <w:t xml:space="preserve">ביום 27.5.24 נתנה החלטתי הדוחה את בקשת הערעור, </w:t>
      </w:r>
      <w:r w:rsidRPr="00924FF6">
        <w:rPr>
          <w:rFonts w:ascii="David" w:hAnsi="David" w:hint="cs"/>
          <w:noProof w:val="0"/>
          <w:rtl/>
        </w:rPr>
        <w:t xml:space="preserve">החלטתי נתנה </w:t>
      </w:r>
      <w:r w:rsidR="00924FF6" w:rsidRPr="00924FF6">
        <w:rPr>
          <w:rFonts w:ascii="David" w:hAnsi="David" w:hint="cs"/>
          <w:noProof w:val="0"/>
          <w:rtl/>
        </w:rPr>
        <w:t xml:space="preserve">מתוקף סמכותי בהתאם </w:t>
      </w:r>
      <w:hyperlink r:id="rId10" w:history="1">
        <w:r w:rsidR="00924FF6" w:rsidRPr="00924FF6">
          <w:rPr>
            <w:rFonts w:ascii="David" w:hAnsi="David" w:hint="cs"/>
            <w:noProof w:val="0"/>
            <w:rtl/>
          </w:rPr>
          <w:t>ל</w:t>
        </w:r>
        <w:r w:rsidR="00924FF6" w:rsidRPr="00924FF6">
          <w:rPr>
            <w:rFonts w:ascii="David" w:hAnsi="David"/>
            <w:noProof w:val="0"/>
            <w:rtl/>
          </w:rPr>
          <w:t>תקנה 48</w:t>
        </w:r>
      </w:hyperlink>
      <w:r w:rsidR="00924FF6" w:rsidRPr="00924FF6">
        <w:rPr>
          <w:rFonts w:ascii="David" w:hAnsi="David"/>
          <w:noProof w:val="0"/>
          <w:rtl/>
        </w:rPr>
        <w:t xml:space="preserve"> ל</w:t>
      </w:r>
      <w:hyperlink r:id="rId11" w:history="1">
        <w:r w:rsidR="00924FF6" w:rsidRPr="00924FF6">
          <w:rPr>
            <w:rFonts w:ascii="David" w:hAnsi="David"/>
            <w:noProof w:val="0"/>
            <w:rtl/>
          </w:rPr>
          <w:t>תקנות בית משפט לענייני משפחה (סדרי דין), תשפ"א - 2020</w:t>
        </w:r>
      </w:hyperlink>
      <w:r w:rsidR="00924FF6">
        <w:rPr>
          <w:rFonts w:ascii="David" w:hAnsi="David"/>
          <w:noProof w:val="0"/>
          <w:rtl/>
        </w:rPr>
        <w:t xml:space="preserve"> יחד עם </w:t>
      </w:r>
      <w:hyperlink r:id="rId12" w:history="1">
        <w:r w:rsidR="00924FF6" w:rsidRPr="00924FF6">
          <w:rPr>
            <w:rFonts w:ascii="David" w:hAnsi="David"/>
            <w:noProof w:val="0"/>
            <w:rtl/>
          </w:rPr>
          <w:t>תקנה 138(א)(5)</w:t>
        </w:r>
      </w:hyperlink>
      <w:r w:rsidR="00924FF6" w:rsidRPr="00924FF6">
        <w:rPr>
          <w:rFonts w:ascii="David" w:hAnsi="David"/>
          <w:noProof w:val="0"/>
          <w:rtl/>
        </w:rPr>
        <w:t xml:space="preserve"> ל</w:t>
      </w:r>
      <w:hyperlink r:id="rId13" w:history="1">
        <w:r w:rsidR="00924FF6" w:rsidRPr="00924FF6">
          <w:rPr>
            <w:rFonts w:ascii="David" w:hAnsi="David"/>
            <w:noProof w:val="0"/>
            <w:rtl/>
          </w:rPr>
          <w:t>תקנות סדר הדין האזרחי, תשע"ט</w:t>
        </w:r>
      </w:hyperlink>
      <w:r w:rsidR="00924FF6" w:rsidRPr="00924FF6">
        <w:rPr>
          <w:rFonts w:ascii="David" w:hAnsi="David"/>
          <w:noProof w:val="0"/>
          <w:rtl/>
        </w:rPr>
        <w:t xml:space="preserve"> - 2018</w:t>
      </w:r>
      <w:r w:rsidR="00924FF6">
        <w:rPr>
          <w:rFonts w:ascii="David" w:hAnsi="David"/>
          <w:noProof w:val="0"/>
          <w:rtl/>
        </w:rPr>
        <w:t xml:space="preserve"> </w:t>
      </w:r>
      <w:r>
        <w:rPr>
          <w:rFonts w:ascii="David" w:hAnsi="David" w:hint="cs"/>
          <w:noProof w:val="0"/>
          <w:rtl/>
        </w:rPr>
        <w:t>על סמך כלל החומר שהונח בפניי במסגרת ההליכים שפורטו לעיל</w:t>
      </w:r>
      <w:r w:rsidR="00924FF6">
        <w:rPr>
          <w:rFonts w:ascii="David" w:hAnsi="David" w:hint="cs"/>
          <w:noProof w:val="0"/>
          <w:rtl/>
        </w:rPr>
        <w:t xml:space="preserve">, זאת </w:t>
      </w:r>
      <w:r>
        <w:rPr>
          <w:rFonts w:ascii="David" w:hAnsi="David" w:hint="cs"/>
          <w:noProof w:val="0"/>
          <w:rtl/>
        </w:rPr>
        <w:t>מבלי ש</w:t>
      </w:r>
      <w:r w:rsidR="00924FF6">
        <w:rPr>
          <w:rFonts w:ascii="David" w:hAnsi="David" w:hint="cs"/>
          <w:noProof w:val="0"/>
          <w:rtl/>
        </w:rPr>
        <w:t>מצאתי</w:t>
      </w:r>
      <w:r w:rsidR="00F0744F">
        <w:rPr>
          <w:rFonts w:ascii="David" w:hAnsi="David" w:hint="cs"/>
          <w:noProof w:val="0"/>
          <w:rtl/>
        </w:rPr>
        <w:t xml:space="preserve"> צורך ל</w:t>
      </w:r>
      <w:r>
        <w:rPr>
          <w:rFonts w:ascii="David" w:hAnsi="David" w:hint="cs"/>
          <w:noProof w:val="0"/>
          <w:rtl/>
        </w:rPr>
        <w:t>קיים דיון במעמד הצדדים לבקש</w:t>
      </w:r>
      <w:r w:rsidR="00F0744F">
        <w:rPr>
          <w:rFonts w:ascii="David" w:hAnsi="David" w:hint="cs"/>
          <w:noProof w:val="0"/>
          <w:rtl/>
        </w:rPr>
        <w:t>ת הערעור</w:t>
      </w:r>
      <w:r>
        <w:rPr>
          <w:rFonts w:ascii="David" w:hAnsi="David" w:hint="cs"/>
          <w:noProof w:val="0"/>
          <w:rtl/>
        </w:rPr>
        <w:t>.</w:t>
      </w:r>
    </w:p>
    <w:p w:rsidR="00924FF6" w:rsidRPr="00924FF6" w:rsidRDefault="00924FF6" w:rsidP="00924FF6">
      <w:pPr>
        <w:pStyle w:val="ad"/>
        <w:rPr>
          <w:rFonts w:ascii="David" w:hAnsi="David"/>
          <w:noProof w:val="0"/>
          <w:rtl/>
        </w:rPr>
      </w:pPr>
    </w:p>
    <w:p w:rsidR="00B336BA" w:rsidRPr="00F34F6D" w:rsidRDefault="00B336BA" w:rsidP="00924FF6">
      <w:pPr>
        <w:pStyle w:val="ad"/>
        <w:numPr>
          <w:ilvl w:val="0"/>
          <w:numId w:val="1"/>
        </w:numPr>
        <w:spacing w:after="160" w:line="360" w:lineRule="auto"/>
        <w:rPr>
          <w:rFonts w:ascii="David" w:hAnsi="David"/>
          <w:noProof w:val="0"/>
          <w:rtl/>
        </w:rPr>
      </w:pPr>
      <w:r>
        <w:rPr>
          <w:rFonts w:ascii="David" w:hAnsi="David" w:hint="cs"/>
          <w:noProof w:val="0"/>
          <w:rtl/>
        </w:rPr>
        <w:lastRenderedPageBreak/>
        <w:t xml:space="preserve">ביום 29.5.24 הוגשה על ידי התובע בקשה דחופה זו לפסילת </w:t>
      </w:r>
      <w:r w:rsidR="00924FF6">
        <w:rPr>
          <w:rFonts w:ascii="David" w:hAnsi="David" w:hint="cs"/>
          <w:noProof w:val="0"/>
          <w:rtl/>
        </w:rPr>
        <w:t>ה</w:t>
      </w:r>
      <w:r>
        <w:rPr>
          <w:rFonts w:ascii="David" w:hAnsi="David" w:hint="cs"/>
          <w:noProof w:val="0"/>
          <w:rtl/>
        </w:rPr>
        <w:t xml:space="preserve">מותב </w:t>
      </w:r>
      <w:r w:rsidR="00924FF6">
        <w:rPr>
          <w:rFonts w:ascii="David" w:hAnsi="David" w:hint="cs"/>
          <w:noProof w:val="0"/>
          <w:rtl/>
        </w:rPr>
        <w:t xml:space="preserve">זאת עוד </w:t>
      </w:r>
      <w:r>
        <w:rPr>
          <w:rFonts w:ascii="David" w:hAnsi="David" w:hint="cs"/>
          <w:noProof w:val="0"/>
          <w:rtl/>
        </w:rPr>
        <w:t xml:space="preserve">בטרם מתן כל החלטה </w:t>
      </w:r>
      <w:r w:rsidR="00924FF6">
        <w:rPr>
          <w:rFonts w:ascii="David" w:hAnsi="David" w:hint="cs"/>
          <w:noProof w:val="0"/>
          <w:rtl/>
        </w:rPr>
        <w:t xml:space="preserve">לגופו של עניין, כל שכן מהותית, </w:t>
      </w:r>
      <w:r>
        <w:rPr>
          <w:rFonts w:ascii="David" w:hAnsi="David" w:hint="cs"/>
          <w:noProof w:val="0"/>
          <w:rtl/>
        </w:rPr>
        <w:t>בתיק.</w:t>
      </w:r>
    </w:p>
    <w:p w:rsidR="00B336BA" w:rsidRDefault="00B336BA" w:rsidP="00F0744F">
      <w:pPr>
        <w:pStyle w:val="ad"/>
        <w:numPr>
          <w:ilvl w:val="0"/>
          <w:numId w:val="1"/>
        </w:numPr>
        <w:spacing w:after="160" w:line="360" w:lineRule="auto"/>
        <w:rPr>
          <w:rFonts w:ascii="David" w:hAnsi="David"/>
          <w:noProof w:val="0"/>
        </w:rPr>
      </w:pPr>
      <w:r w:rsidRPr="00170879">
        <w:rPr>
          <w:rFonts w:ascii="David" w:hAnsi="David"/>
          <w:noProof w:val="0"/>
          <w:rtl/>
        </w:rPr>
        <w:t>לטענת המבקש,</w:t>
      </w:r>
      <w:r w:rsidRPr="004A3265">
        <w:rPr>
          <w:rFonts w:ascii="David" w:hAnsi="David"/>
          <w:noProof w:val="0"/>
          <w:rtl/>
        </w:rPr>
        <w:t xml:space="preserve"> </w:t>
      </w:r>
      <w:r>
        <w:rPr>
          <w:rFonts w:ascii="David" w:hAnsi="David" w:hint="cs"/>
          <w:noProof w:val="0"/>
          <w:rtl/>
        </w:rPr>
        <w:t>מפתיחת ההליך, משתקפת מ</w:t>
      </w:r>
      <w:r w:rsidR="00F0744F">
        <w:rPr>
          <w:rFonts w:ascii="David" w:hAnsi="David" w:hint="cs"/>
          <w:noProof w:val="0"/>
          <w:rtl/>
        </w:rPr>
        <w:t xml:space="preserve">אופן </w:t>
      </w:r>
      <w:r>
        <w:rPr>
          <w:rFonts w:ascii="David" w:hAnsi="David" w:hint="cs"/>
          <w:noProof w:val="0"/>
          <w:rtl/>
        </w:rPr>
        <w:t xml:space="preserve">ניהולו העדפה ברורה של הנתבעת למול התובע, </w:t>
      </w:r>
      <w:r w:rsidR="00F0744F">
        <w:rPr>
          <w:rFonts w:ascii="David" w:hAnsi="David" w:hint="cs"/>
          <w:noProof w:val="0"/>
          <w:rtl/>
        </w:rPr>
        <w:t>כך מתרשם הוא מ</w:t>
      </w:r>
      <w:r>
        <w:rPr>
          <w:rFonts w:ascii="David" w:hAnsi="David" w:hint="cs"/>
          <w:noProof w:val="0"/>
          <w:rtl/>
        </w:rPr>
        <w:t xml:space="preserve">שיפוט לא שוויוני, מגמתי וחד צדדי המבוסס </w:t>
      </w:r>
      <w:r w:rsidR="00F0744F">
        <w:rPr>
          <w:rFonts w:ascii="David" w:hAnsi="David" w:hint="cs"/>
          <w:noProof w:val="0"/>
          <w:rtl/>
        </w:rPr>
        <w:t xml:space="preserve">לטענתו </w:t>
      </w:r>
      <w:r>
        <w:rPr>
          <w:rFonts w:ascii="David" w:hAnsi="David" w:hint="cs"/>
          <w:noProof w:val="0"/>
          <w:rtl/>
        </w:rPr>
        <w:t xml:space="preserve">על דעה קדומה עמה הגיעה המותב מתוך היכרותה המוקדמת עם המשפחה, </w:t>
      </w:r>
      <w:r w:rsidR="00F0744F">
        <w:rPr>
          <w:rFonts w:ascii="David" w:hAnsi="David" w:hint="cs"/>
          <w:noProof w:val="0"/>
          <w:rtl/>
        </w:rPr>
        <w:t xml:space="preserve">זאת </w:t>
      </w:r>
      <w:r>
        <w:rPr>
          <w:rFonts w:ascii="David" w:hAnsi="David" w:hint="cs"/>
          <w:noProof w:val="0"/>
          <w:rtl/>
        </w:rPr>
        <w:t>באופן המקים חשש ממשי למשוא פנים וחוסר יכולת לשפוט בהליך באופן נקי, ניטראלי והוגן.</w:t>
      </w:r>
    </w:p>
    <w:p w:rsidR="00F0744F" w:rsidRDefault="00F0744F" w:rsidP="00F0744F">
      <w:pPr>
        <w:pStyle w:val="ad"/>
        <w:spacing w:after="160" w:line="360" w:lineRule="auto"/>
        <w:ind w:left="360"/>
        <w:rPr>
          <w:rFonts w:ascii="David" w:hAnsi="David"/>
          <w:noProof w:val="0"/>
        </w:rPr>
      </w:pPr>
    </w:p>
    <w:p w:rsidR="00B336BA" w:rsidRDefault="00B336BA" w:rsidP="00F0744F">
      <w:pPr>
        <w:pStyle w:val="ad"/>
        <w:numPr>
          <w:ilvl w:val="0"/>
          <w:numId w:val="1"/>
        </w:numPr>
        <w:spacing w:after="160" w:line="360" w:lineRule="auto"/>
        <w:rPr>
          <w:rFonts w:ascii="David" w:hAnsi="David"/>
          <w:noProof w:val="0"/>
        </w:rPr>
      </w:pPr>
      <w:r>
        <w:rPr>
          <w:rFonts w:ascii="David" w:hAnsi="David" w:hint="cs"/>
          <w:noProof w:val="0"/>
          <w:rtl/>
        </w:rPr>
        <w:t>לטענת</w:t>
      </w:r>
      <w:r w:rsidR="00F0744F">
        <w:rPr>
          <w:rFonts w:ascii="David" w:hAnsi="David" w:hint="cs"/>
          <w:noProof w:val="0"/>
          <w:rtl/>
        </w:rPr>
        <w:t xml:space="preserve"> המבקש,</w:t>
      </w:r>
      <w:r>
        <w:rPr>
          <w:rFonts w:ascii="David" w:hAnsi="David" w:hint="cs"/>
          <w:noProof w:val="0"/>
          <w:rtl/>
        </w:rPr>
        <w:t xml:space="preserve"> מגמה זו </w:t>
      </w:r>
      <w:r w:rsidR="00F0744F">
        <w:rPr>
          <w:rFonts w:ascii="David" w:hAnsi="David" w:hint="cs"/>
          <w:noProof w:val="0"/>
          <w:rtl/>
        </w:rPr>
        <w:t xml:space="preserve">של המותב </w:t>
      </w:r>
      <w:r>
        <w:rPr>
          <w:rFonts w:ascii="David" w:hAnsi="David" w:hint="cs"/>
          <w:noProof w:val="0"/>
          <w:rtl/>
        </w:rPr>
        <w:t xml:space="preserve">הורגשה עוד בהליכים קודמים בהם נתנו החלטות המעדיפות </w:t>
      </w:r>
      <w:r w:rsidR="00F0744F">
        <w:rPr>
          <w:rFonts w:ascii="David" w:hAnsi="David" w:hint="cs"/>
          <w:noProof w:val="0"/>
          <w:rtl/>
        </w:rPr>
        <w:t xml:space="preserve">לטענתו </w:t>
      </w:r>
      <w:r>
        <w:rPr>
          <w:rFonts w:ascii="David" w:hAnsi="David" w:hint="cs"/>
          <w:noProof w:val="0"/>
          <w:rtl/>
        </w:rPr>
        <w:t>באופן עיוור את טענות הנתבעת</w:t>
      </w:r>
      <w:r w:rsidR="00F0744F">
        <w:rPr>
          <w:rFonts w:ascii="David" w:hAnsi="David" w:hint="cs"/>
          <w:noProof w:val="0"/>
          <w:rtl/>
        </w:rPr>
        <w:t>.</w:t>
      </w:r>
      <w:r>
        <w:rPr>
          <w:rFonts w:ascii="David" w:hAnsi="David" w:hint="cs"/>
          <w:noProof w:val="0"/>
          <w:rtl/>
        </w:rPr>
        <w:t xml:space="preserve"> המבקש סבור כי כל עוד הליך זה ינוהל בפניי דינו ידוע מראש</w:t>
      </w:r>
      <w:r w:rsidR="00F0744F">
        <w:rPr>
          <w:rFonts w:ascii="David" w:hAnsi="David" w:hint="cs"/>
          <w:noProof w:val="0"/>
          <w:rtl/>
        </w:rPr>
        <w:t xml:space="preserve"> ומכאן הבקשה לפסילת המותב מלשבת בדין</w:t>
      </w:r>
      <w:r>
        <w:rPr>
          <w:rFonts w:ascii="David" w:hAnsi="David" w:hint="cs"/>
          <w:noProof w:val="0"/>
          <w:rtl/>
        </w:rPr>
        <w:t xml:space="preserve">. </w:t>
      </w:r>
    </w:p>
    <w:p w:rsidR="00F0744F" w:rsidRDefault="00F0744F" w:rsidP="00B336BA">
      <w:pPr>
        <w:spacing w:after="160" w:line="360" w:lineRule="auto"/>
        <w:jc w:val="both"/>
        <w:rPr>
          <w:rFonts w:ascii="David" w:hAnsi="David"/>
          <w:b/>
          <w:bCs/>
          <w:noProof w:val="0"/>
          <w:rtl/>
        </w:rPr>
      </w:pPr>
    </w:p>
    <w:p w:rsidR="00B336BA" w:rsidRPr="00F34F6D" w:rsidRDefault="00B336BA" w:rsidP="00B336BA">
      <w:pPr>
        <w:spacing w:after="160" w:line="360" w:lineRule="auto"/>
        <w:jc w:val="both"/>
        <w:rPr>
          <w:rFonts w:ascii="David" w:hAnsi="David"/>
          <w:b/>
          <w:bCs/>
          <w:noProof w:val="0"/>
        </w:rPr>
      </w:pPr>
      <w:r w:rsidRPr="00F34F6D">
        <w:rPr>
          <w:rFonts w:ascii="David" w:hAnsi="David" w:hint="cs"/>
          <w:b/>
          <w:bCs/>
          <w:noProof w:val="0"/>
          <w:rtl/>
        </w:rPr>
        <w:t>טענות המבקש</w:t>
      </w:r>
    </w:p>
    <w:p w:rsidR="00B336BA" w:rsidRPr="004A3265" w:rsidRDefault="00B336BA" w:rsidP="00B336BA">
      <w:pPr>
        <w:pStyle w:val="ad"/>
        <w:rPr>
          <w:rFonts w:ascii="David" w:hAnsi="David"/>
          <w:noProof w:val="0"/>
          <w:rtl/>
        </w:rPr>
      </w:pPr>
    </w:p>
    <w:p w:rsidR="00B336BA" w:rsidRDefault="00B336BA" w:rsidP="00F0744F">
      <w:pPr>
        <w:pStyle w:val="ad"/>
        <w:numPr>
          <w:ilvl w:val="0"/>
          <w:numId w:val="1"/>
        </w:numPr>
        <w:spacing w:after="160" w:line="360" w:lineRule="auto"/>
        <w:jc w:val="both"/>
        <w:rPr>
          <w:rFonts w:ascii="David" w:hAnsi="David"/>
          <w:noProof w:val="0"/>
        </w:rPr>
      </w:pPr>
      <w:r>
        <w:rPr>
          <w:rFonts w:ascii="David" w:hAnsi="David" w:hint="cs"/>
          <w:noProof w:val="0"/>
          <w:rtl/>
        </w:rPr>
        <w:t>המבקש טוען כי הליכי יישוב הסכסוך הקודמים נפתחו מתוך רצונו בחידוש קשר עם בנותיו בדרך מכבדת ונעימה, ה</w:t>
      </w:r>
      <w:r w:rsidR="00F0744F">
        <w:rPr>
          <w:rFonts w:ascii="David" w:hAnsi="David" w:hint="cs"/>
          <w:noProof w:val="0"/>
          <w:rtl/>
        </w:rPr>
        <w:t>הליך ה</w:t>
      </w:r>
      <w:r>
        <w:rPr>
          <w:rFonts w:ascii="David" w:hAnsi="David" w:hint="cs"/>
          <w:noProof w:val="0"/>
          <w:rtl/>
        </w:rPr>
        <w:t>ראשון בהם נפתח על מנת לקבל אינפורמציה לגבי מצבה הרפואי של הבת אשר הוסתר ממנו</w:t>
      </w:r>
      <w:r w:rsidR="00F0744F">
        <w:rPr>
          <w:rFonts w:ascii="David" w:hAnsi="David" w:hint="cs"/>
          <w:noProof w:val="0"/>
          <w:rtl/>
        </w:rPr>
        <w:t xml:space="preserve"> לטענתו.</w:t>
      </w:r>
      <w:r>
        <w:rPr>
          <w:rFonts w:ascii="David" w:hAnsi="David" w:hint="cs"/>
          <w:noProof w:val="0"/>
          <w:rtl/>
        </w:rPr>
        <w:t xml:space="preserve"> לדברי</w:t>
      </w:r>
      <w:r w:rsidR="00F0744F">
        <w:rPr>
          <w:rFonts w:ascii="David" w:hAnsi="David" w:hint="cs"/>
          <w:noProof w:val="0"/>
          <w:rtl/>
        </w:rPr>
        <w:t xml:space="preserve"> המבקש,</w:t>
      </w:r>
      <w:r>
        <w:rPr>
          <w:rFonts w:ascii="David" w:hAnsi="David" w:hint="cs"/>
          <w:noProof w:val="0"/>
          <w:rtl/>
        </w:rPr>
        <w:t xml:space="preserve"> במקום לראות את זעקתו למצוקה בחרה המותב לראות בהם "הטרדה" של הנתבעת, של הבנות ושל המערכת.</w:t>
      </w:r>
    </w:p>
    <w:p w:rsidR="00F0744F" w:rsidRDefault="00F0744F" w:rsidP="00F0744F">
      <w:pPr>
        <w:pStyle w:val="ad"/>
        <w:spacing w:after="160" w:line="360" w:lineRule="auto"/>
        <w:ind w:left="360"/>
        <w:jc w:val="both"/>
        <w:rPr>
          <w:rFonts w:ascii="David" w:hAnsi="David"/>
          <w:noProof w:val="0"/>
        </w:rPr>
      </w:pPr>
    </w:p>
    <w:p w:rsidR="00B336BA" w:rsidRDefault="00B336BA" w:rsidP="00F0744F">
      <w:pPr>
        <w:pStyle w:val="ad"/>
        <w:numPr>
          <w:ilvl w:val="0"/>
          <w:numId w:val="1"/>
        </w:numPr>
        <w:spacing w:after="160" w:line="360" w:lineRule="auto"/>
        <w:jc w:val="both"/>
        <w:rPr>
          <w:rFonts w:ascii="David" w:hAnsi="David"/>
          <w:noProof w:val="0"/>
        </w:rPr>
      </w:pPr>
      <w:r>
        <w:rPr>
          <w:rFonts w:ascii="David" w:hAnsi="David" w:hint="cs"/>
          <w:noProof w:val="0"/>
          <w:rtl/>
        </w:rPr>
        <w:t xml:space="preserve"> המבקש סבור כי מצבה הרפואי של בתם של הצדדים והתמודדותה עם מחלת ה</w:t>
      </w:r>
      <w:r w:rsidR="00FE1874">
        <w:rPr>
          <w:rFonts w:ascii="David" w:hAnsi="David" w:hint="cs"/>
          <w:noProof w:val="0"/>
        </w:rPr>
        <w:t>XX</w:t>
      </w:r>
      <w:r>
        <w:rPr>
          <w:rFonts w:ascii="David" w:hAnsi="David" w:hint="cs"/>
          <w:noProof w:val="0"/>
          <w:rtl/>
        </w:rPr>
        <w:t xml:space="preserve"> נגע לליבה של המותב, </w:t>
      </w:r>
      <w:r w:rsidR="00F0744F">
        <w:rPr>
          <w:rFonts w:ascii="David" w:hAnsi="David" w:hint="cs"/>
          <w:noProof w:val="0"/>
          <w:rtl/>
        </w:rPr>
        <w:t xml:space="preserve">ולפיכך </w:t>
      </w:r>
      <w:r>
        <w:rPr>
          <w:rFonts w:ascii="David" w:hAnsi="David" w:hint="cs"/>
          <w:noProof w:val="0"/>
          <w:rtl/>
        </w:rPr>
        <w:t>היא סבורה כי עניין זה מהווה סיבה לוויתו</w:t>
      </w:r>
      <w:r>
        <w:rPr>
          <w:rFonts w:ascii="David" w:hAnsi="David" w:hint="eastAsia"/>
          <w:noProof w:val="0"/>
          <w:rtl/>
        </w:rPr>
        <w:t>ר</w:t>
      </w:r>
      <w:r>
        <w:rPr>
          <w:rFonts w:ascii="David" w:hAnsi="David" w:hint="cs"/>
          <w:noProof w:val="0"/>
          <w:rtl/>
        </w:rPr>
        <w:t xml:space="preserve"> על כל זכויותיו של התובע  כשבנוסף מע</w:t>
      </w:r>
      <w:r w:rsidR="00F0744F">
        <w:rPr>
          <w:rFonts w:ascii="David" w:hAnsi="David" w:hint="cs"/>
          <w:noProof w:val="0"/>
          <w:rtl/>
        </w:rPr>
        <w:t>בר לאמור,</w:t>
      </w:r>
      <w:r>
        <w:rPr>
          <w:rFonts w:ascii="David" w:hAnsi="David" w:hint="cs"/>
          <w:noProof w:val="0"/>
          <w:rtl/>
        </w:rPr>
        <w:t xml:space="preserve"> מהלך עליו אימים עניין ההוצאות.</w:t>
      </w:r>
    </w:p>
    <w:p w:rsidR="00F0744F" w:rsidRPr="00F0744F" w:rsidRDefault="00F0744F" w:rsidP="00F0744F">
      <w:pPr>
        <w:pStyle w:val="ad"/>
        <w:rPr>
          <w:rFonts w:ascii="David" w:hAnsi="David"/>
          <w:noProof w:val="0"/>
          <w:rtl/>
        </w:rPr>
      </w:pPr>
    </w:p>
    <w:p w:rsidR="00B336BA" w:rsidRDefault="00F0744F" w:rsidP="00F0744F">
      <w:pPr>
        <w:pStyle w:val="ad"/>
        <w:numPr>
          <w:ilvl w:val="0"/>
          <w:numId w:val="1"/>
        </w:numPr>
        <w:spacing w:after="160" w:line="360" w:lineRule="auto"/>
        <w:jc w:val="both"/>
        <w:rPr>
          <w:rFonts w:ascii="David" w:hAnsi="David"/>
          <w:noProof w:val="0"/>
        </w:rPr>
      </w:pPr>
      <w:r>
        <w:rPr>
          <w:rFonts w:ascii="David" w:hAnsi="David" w:hint="cs"/>
          <w:noProof w:val="0"/>
          <w:rtl/>
        </w:rPr>
        <w:t xml:space="preserve">לטענת המבקש, </w:t>
      </w:r>
      <w:r w:rsidR="00B336BA">
        <w:rPr>
          <w:rFonts w:ascii="David" w:hAnsi="David" w:hint="cs"/>
          <w:noProof w:val="0"/>
          <w:rtl/>
        </w:rPr>
        <w:t>בהליך י"ס 11339-09-23 כבוד המותב התירה לנתבעת הגשת בקשת סרק לאחר סגירת ההליך מבלי לחייבה בהוצאות לאחר שנדח</w:t>
      </w:r>
      <w:r>
        <w:rPr>
          <w:rFonts w:ascii="David" w:hAnsi="David" w:hint="cs"/>
          <w:noProof w:val="0"/>
          <w:rtl/>
        </w:rPr>
        <w:t>תה בקשת המבקש בעניין זה</w:t>
      </w:r>
      <w:r w:rsidR="00B336BA">
        <w:rPr>
          <w:rFonts w:ascii="David" w:hAnsi="David" w:hint="cs"/>
          <w:noProof w:val="0"/>
          <w:rtl/>
        </w:rPr>
        <w:t>. בעוד התובע נדרש להגיש לבקשות אלו תגובות ולשאת בהוצאות הגשתן וזאת עוד בטרם הוגש כתב הגנה, דבר זה מעיד על הלך רוחה הסלחני של המותב כלפיי הנתבעת.</w:t>
      </w:r>
    </w:p>
    <w:p w:rsidR="001053D8" w:rsidRPr="001053D8" w:rsidRDefault="001053D8" w:rsidP="001053D8">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כמו כן, לנתבעת נתנה אורכה להגשת כתב הגנה עד להכרעה בעניין הפקדת ערובה על ידי התובע, למרות התנגדותו של התובע כי אורכה זו תיפגע בניהולו התקין של ההליך ותעניק לנתבעת יתרון דיוני.</w:t>
      </w:r>
    </w:p>
    <w:p w:rsidR="001053D8" w:rsidRPr="001053D8" w:rsidRDefault="001053D8" w:rsidP="001053D8">
      <w:pPr>
        <w:pStyle w:val="ad"/>
        <w:rPr>
          <w:rFonts w:ascii="David" w:hAnsi="David"/>
          <w:noProof w:val="0"/>
          <w:rtl/>
        </w:rPr>
      </w:pPr>
    </w:p>
    <w:p w:rsidR="005903DE"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 xml:space="preserve">ביום 11.3.24 הוגשה בקשת הנתבעת לחייבו בהפקדת ערובה, התובע הגיש תגובה ביום 24.3.24 ובקשה נוספת למתן החלטה ביום 2.5.24 וביום 14.5.24 נתנה החלטת המותב כי ההחלטה לעניין </w:t>
      </w:r>
      <w:r>
        <w:rPr>
          <w:rFonts w:ascii="David" w:hAnsi="David" w:hint="cs"/>
          <w:noProof w:val="0"/>
          <w:rtl/>
        </w:rPr>
        <w:lastRenderedPageBreak/>
        <w:t>הגשת ערובה והגשת כתב הגנה תינתן רק לאחר הכרעה בערעור</w:t>
      </w:r>
      <w:r w:rsidR="006B568A">
        <w:rPr>
          <w:rFonts w:ascii="David" w:hAnsi="David" w:hint="cs"/>
          <w:noProof w:val="0"/>
          <w:rtl/>
        </w:rPr>
        <w:t xml:space="preserve"> שהגיש המבקש על החלטת כב' הרשמת</w:t>
      </w:r>
      <w:r>
        <w:rPr>
          <w:rFonts w:ascii="David" w:hAnsi="David" w:hint="cs"/>
          <w:noProof w:val="0"/>
          <w:rtl/>
        </w:rPr>
        <w:t xml:space="preserve">. </w:t>
      </w:r>
    </w:p>
    <w:p w:rsidR="005903DE" w:rsidRPr="005903DE" w:rsidRDefault="005903DE" w:rsidP="005903DE">
      <w:pPr>
        <w:pStyle w:val="ad"/>
        <w:rPr>
          <w:rFonts w:ascii="David" w:hAnsi="David"/>
          <w:noProof w:val="0"/>
          <w:rtl/>
        </w:rPr>
      </w:pPr>
    </w:p>
    <w:p w:rsidR="00B336BA" w:rsidRDefault="005903DE" w:rsidP="005903DE">
      <w:pPr>
        <w:pStyle w:val="ad"/>
        <w:spacing w:after="160" w:line="360" w:lineRule="auto"/>
        <w:ind w:left="360"/>
        <w:jc w:val="both"/>
        <w:rPr>
          <w:rFonts w:ascii="David" w:hAnsi="David"/>
          <w:noProof w:val="0"/>
          <w:rtl/>
        </w:rPr>
      </w:pPr>
      <w:r>
        <w:rPr>
          <w:rFonts w:ascii="David" w:hAnsi="David" w:hint="cs"/>
          <w:noProof w:val="0"/>
          <w:rtl/>
        </w:rPr>
        <w:t xml:space="preserve">לטענת המבקש, </w:t>
      </w:r>
      <w:r w:rsidR="00B336BA">
        <w:rPr>
          <w:rFonts w:ascii="David" w:hAnsi="David" w:hint="cs"/>
          <w:noProof w:val="0"/>
          <w:rtl/>
        </w:rPr>
        <w:t>משמעות הדבר הינה הארכת ההליך בזמן שהתובע ממשיך לשלם מזונות בעוד הנתבעת תוכל לעלות טענת "מזונות שנאכלו" והפיכתו של הליך זה לחסר משמעות. לטענת המבקש החלטה זו נתנה מבלי שניתן משקל לטענותיו.</w:t>
      </w:r>
    </w:p>
    <w:p w:rsidR="005903DE" w:rsidRDefault="005903DE" w:rsidP="005903DE">
      <w:pPr>
        <w:pStyle w:val="ad"/>
        <w:spacing w:after="160" w:line="360" w:lineRule="auto"/>
        <w:ind w:left="360"/>
        <w:jc w:val="both"/>
        <w:rPr>
          <w:rFonts w:ascii="David" w:hAnsi="David"/>
          <w:noProof w:val="0"/>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 xml:space="preserve">בד ובד לניהול הליך זה, נוצרה בין הצדדים מחלוקת בעניין תשלום הוצאות רפואיות של הבת במסגרת הוצאה לפועל כמפורט בסעיפים 2-3 לעיל. על אף חששו </w:t>
      </w:r>
      <w:r w:rsidR="005903DE">
        <w:rPr>
          <w:rFonts w:ascii="David" w:hAnsi="David" w:hint="cs"/>
          <w:noProof w:val="0"/>
          <w:rtl/>
        </w:rPr>
        <w:t xml:space="preserve">של המבקש </w:t>
      </w:r>
      <w:r>
        <w:rPr>
          <w:rFonts w:ascii="David" w:hAnsi="David" w:hint="cs"/>
          <w:noProof w:val="0"/>
          <w:rtl/>
        </w:rPr>
        <w:t>כי המותב תידון בערעור קיווה התובע כי טענותיו תישמענה בלב פתוח ונפש חפצה והמתין למועד דיון, בשלב זה נתנה ביום 27.5.24 החלטה הדוחה כליל את ערעורו</w:t>
      </w:r>
      <w:r w:rsidR="005903DE">
        <w:rPr>
          <w:rFonts w:ascii="David" w:hAnsi="David" w:hint="cs"/>
          <w:noProof w:val="0"/>
          <w:rtl/>
        </w:rPr>
        <w:t xml:space="preserve"> ללא שהתקיים כלל דיון</w:t>
      </w:r>
      <w:r>
        <w:rPr>
          <w:rFonts w:ascii="David" w:hAnsi="David" w:hint="cs"/>
          <w:noProof w:val="0"/>
          <w:rtl/>
        </w:rPr>
        <w:t>.</w:t>
      </w:r>
    </w:p>
    <w:p w:rsidR="005903DE" w:rsidRDefault="005903DE" w:rsidP="005903DE">
      <w:pPr>
        <w:pStyle w:val="ad"/>
        <w:spacing w:after="160" w:line="360" w:lineRule="auto"/>
        <w:ind w:left="360"/>
        <w:jc w:val="both"/>
        <w:rPr>
          <w:rFonts w:ascii="David" w:hAnsi="David"/>
          <w:noProof w:val="0"/>
        </w:rPr>
      </w:pPr>
    </w:p>
    <w:p w:rsidR="00B336BA" w:rsidRDefault="00B336BA" w:rsidP="005903DE">
      <w:pPr>
        <w:pStyle w:val="ad"/>
        <w:numPr>
          <w:ilvl w:val="0"/>
          <w:numId w:val="1"/>
        </w:numPr>
        <w:spacing w:after="160" w:line="360" w:lineRule="auto"/>
        <w:jc w:val="both"/>
        <w:rPr>
          <w:rFonts w:ascii="David" w:hAnsi="David"/>
          <w:noProof w:val="0"/>
        </w:rPr>
      </w:pPr>
      <w:r>
        <w:rPr>
          <w:rFonts w:ascii="David" w:hAnsi="David" w:hint="cs"/>
          <w:noProof w:val="0"/>
          <w:rtl/>
        </w:rPr>
        <w:t xml:space="preserve">בהליך הערעור התובע לא היה מיוצג, ומשלא התקיים דיון לא נתנה לו אפשרות להשמיע את </w:t>
      </w:r>
      <w:r w:rsidR="005903DE">
        <w:rPr>
          <w:rFonts w:ascii="David" w:hAnsi="David" w:hint="cs"/>
          <w:noProof w:val="0"/>
          <w:rtl/>
        </w:rPr>
        <w:t>"</w:t>
      </w:r>
      <w:r>
        <w:rPr>
          <w:rFonts w:ascii="David" w:hAnsi="David" w:hint="cs"/>
          <w:noProof w:val="0"/>
          <w:rtl/>
        </w:rPr>
        <w:t>הצד שלו בסיפור</w:t>
      </w:r>
      <w:r w:rsidR="005903DE">
        <w:rPr>
          <w:rFonts w:ascii="David" w:hAnsi="David" w:hint="cs"/>
          <w:noProof w:val="0"/>
          <w:rtl/>
        </w:rPr>
        <w:t>"</w:t>
      </w:r>
      <w:r>
        <w:rPr>
          <w:rFonts w:ascii="David" w:hAnsi="David" w:hint="cs"/>
          <w:noProof w:val="0"/>
          <w:rtl/>
        </w:rPr>
        <w:t xml:space="preserve">, במסגרת ההחלטה לא הסוותה המותב את הדעה שגיבשה זה מכבר אשר בגינה אין באפשרותה </w:t>
      </w:r>
      <w:r w:rsidR="005903DE">
        <w:rPr>
          <w:rFonts w:ascii="David" w:hAnsi="David" w:hint="cs"/>
          <w:noProof w:val="0"/>
          <w:rtl/>
        </w:rPr>
        <w:t xml:space="preserve">עוד את </w:t>
      </w:r>
      <w:r>
        <w:rPr>
          <w:rFonts w:ascii="David" w:hAnsi="David" w:hint="cs"/>
          <w:noProof w:val="0"/>
          <w:rtl/>
        </w:rPr>
        <w:t xml:space="preserve">היכולת לשפוט את עניינם של הצדדים בצורה נקייה. המותב חוזרת ומדגישה כי הצדדים ועניינם חקוק היטב בזיכרונה לפיכך דינו של </w:t>
      </w:r>
      <w:r w:rsidR="005903DE">
        <w:rPr>
          <w:rFonts w:ascii="David" w:hAnsi="David" w:hint="cs"/>
          <w:noProof w:val="0"/>
          <w:rtl/>
        </w:rPr>
        <w:t>כ</w:t>
      </w:r>
      <w:r>
        <w:rPr>
          <w:rFonts w:ascii="David" w:hAnsi="David" w:hint="cs"/>
          <w:noProof w:val="0"/>
          <w:rtl/>
        </w:rPr>
        <w:t>ל הליך או עניין חדש שיידון בפניה ידוע מראש.</w:t>
      </w:r>
    </w:p>
    <w:p w:rsidR="005903DE" w:rsidRPr="005903DE" w:rsidRDefault="005903DE" w:rsidP="005903DE">
      <w:pPr>
        <w:pStyle w:val="ad"/>
        <w:rPr>
          <w:rFonts w:ascii="David" w:hAnsi="David"/>
          <w:noProof w:val="0"/>
          <w:rtl/>
        </w:rPr>
      </w:pPr>
    </w:p>
    <w:p w:rsidR="00B336BA" w:rsidRDefault="00B336BA" w:rsidP="005903DE">
      <w:pPr>
        <w:pStyle w:val="ad"/>
        <w:numPr>
          <w:ilvl w:val="0"/>
          <w:numId w:val="1"/>
        </w:numPr>
        <w:spacing w:after="160" w:line="360" w:lineRule="auto"/>
        <w:jc w:val="both"/>
        <w:rPr>
          <w:rFonts w:ascii="David" w:hAnsi="David"/>
          <w:noProof w:val="0"/>
        </w:rPr>
      </w:pPr>
      <w:r>
        <w:rPr>
          <w:rFonts w:ascii="David" w:hAnsi="David" w:hint="cs"/>
          <w:noProof w:val="0"/>
          <w:rtl/>
        </w:rPr>
        <w:t xml:space="preserve">לטענת המבקש בהחלטת </w:t>
      </w:r>
      <w:r w:rsidR="005903DE">
        <w:rPr>
          <w:rFonts w:ascii="David" w:hAnsi="David" w:hint="cs"/>
          <w:noProof w:val="0"/>
          <w:rtl/>
        </w:rPr>
        <w:t xml:space="preserve">על </w:t>
      </w:r>
      <w:r>
        <w:rPr>
          <w:rFonts w:ascii="David" w:hAnsi="David" w:hint="cs"/>
          <w:noProof w:val="0"/>
          <w:rtl/>
        </w:rPr>
        <w:t>דחיית הערעור המותב הביעה הזדהות יתר עם הנתבעת, הוכנסה נימה אישית ואינפורמציה מהליכים קודמים ונלקח חלק פעיל בהגנת הנתבעת המנוגד לשיטת המשפט בארץ. בנוסף בהחלטותיה של המותב נרשמו התבטאויות חריגות בהן היא חוזרת על המלצתה לתובע לשקול היטב אם כלל לנהל הליכים משפטיים.</w:t>
      </w:r>
    </w:p>
    <w:p w:rsidR="005903DE" w:rsidRPr="005903DE" w:rsidRDefault="005903DE" w:rsidP="005903DE">
      <w:pPr>
        <w:pStyle w:val="ad"/>
        <w:rPr>
          <w:rFonts w:ascii="David" w:hAnsi="David"/>
          <w:noProof w:val="0"/>
          <w:rtl/>
        </w:rPr>
      </w:pPr>
    </w:p>
    <w:p w:rsidR="00B336BA" w:rsidRDefault="00B336BA" w:rsidP="005903DE">
      <w:pPr>
        <w:pStyle w:val="ad"/>
        <w:numPr>
          <w:ilvl w:val="0"/>
          <w:numId w:val="1"/>
        </w:numPr>
        <w:spacing w:after="160" w:line="360" w:lineRule="auto"/>
        <w:jc w:val="both"/>
        <w:rPr>
          <w:rFonts w:ascii="David" w:hAnsi="David"/>
          <w:noProof w:val="0"/>
        </w:rPr>
      </w:pPr>
      <w:r>
        <w:rPr>
          <w:rFonts w:ascii="David" w:hAnsi="David" w:hint="cs"/>
          <w:noProof w:val="0"/>
          <w:rtl/>
        </w:rPr>
        <w:t>לאור כל האמור לעיל, לטענת המבקש בהתאם לפסיקה ולסעיף 77(א) לחוק בתי המשפט (נוסח משולב), תשמ"ד- 1984, מתקיימת עילה לפסלות המותב עקב העדפת צד אחד, גיבוש דעה מראש וחשש ממשי למשוא פנים. לפיכך, יש לקבל את בקשת הפסלות ולהורות על העברת ההליך למותב אחר בטרם מתן כל החלטה בהליך. ככל שלא תקבל בקשת הפסלות, התובע מבקש להורות על עצירת הדיון לשם הגשת ערעור.</w:t>
      </w:r>
    </w:p>
    <w:p w:rsidR="00BD0A2A" w:rsidRDefault="00BD0A2A" w:rsidP="00B336BA">
      <w:pPr>
        <w:spacing w:after="160" w:line="360" w:lineRule="auto"/>
        <w:jc w:val="both"/>
        <w:rPr>
          <w:rFonts w:ascii="David" w:hAnsi="David"/>
          <w:b/>
          <w:bCs/>
          <w:noProof w:val="0"/>
          <w:rtl/>
        </w:rPr>
      </w:pPr>
    </w:p>
    <w:p w:rsidR="00B336BA" w:rsidRPr="004B3A3B" w:rsidRDefault="00B336BA" w:rsidP="00BD0A2A">
      <w:pPr>
        <w:spacing w:after="160" w:line="360" w:lineRule="auto"/>
        <w:ind w:firstLine="360"/>
        <w:jc w:val="both"/>
        <w:rPr>
          <w:rFonts w:ascii="David" w:hAnsi="David"/>
          <w:b/>
          <w:bCs/>
          <w:noProof w:val="0"/>
        </w:rPr>
      </w:pPr>
      <w:r w:rsidRPr="00677A19">
        <w:rPr>
          <w:rFonts w:ascii="David" w:hAnsi="David" w:hint="cs"/>
          <w:b/>
          <w:bCs/>
          <w:noProof w:val="0"/>
          <w:rtl/>
        </w:rPr>
        <w:t>טענות המשיבה</w:t>
      </w:r>
    </w:p>
    <w:p w:rsidR="00B336BA" w:rsidRDefault="00B336BA" w:rsidP="00B336BA">
      <w:pPr>
        <w:pStyle w:val="ad"/>
        <w:numPr>
          <w:ilvl w:val="0"/>
          <w:numId w:val="1"/>
        </w:numPr>
        <w:spacing w:after="160" w:line="360" w:lineRule="auto"/>
        <w:jc w:val="both"/>
        <w:rPr>
          <w:rFonts w:ascii="David" w:hAnsi="David"/>
          <w:noProof w:val="0"/>
        </w:rPr>
      </w:pPr>
      <w:r w:rsidRPr="008F2720">
        <w:rPr>
          <w:rFonts w:ascii="David" w:hAnsi="David"/>
          <w:b/>
          <w:bCs/>
          <w:noProof w:val="0"/>
          <w:rtl/>
        </w:rPr>
        <w:t>המשיבה טוענת</w:t>
      </w:r>
      <w:r>
        <w:rPr>
          <w:rFonts w:ascii="David" w:hAnsi="David"/>
          <w:noProof w:val="0"/>
          <w:rtl/>
        </w:rPr>
        <w:t xml:space="preserve"> מנגד כי יש לדחות את הבקשה</w:t>
      </w:r>
      <w:r>
        <w:rPr>
          <w:rFonts w:ascii="David" w:hAnsi="David" w:hint="cs"/>
          <w:noProof w:val="0"/>
          <w:rtl/>
        </w:rPr>
        <w:t xml:space="preserve"> תוך חיוב בהוצאות ריאליות שיפסיקו אחת ולתמיד את ההתעללות הבלתי פוסקת של המבקש במשיבה. המשיבה מתקשה להכיל את העובדה שהמבקש מוכן להוציא כספים על בקשות והליכי סרק במקום להשקיע כספים אלו בבנותיו.</w:t>
      </w:r>
    </w:p>
    <w:p w:rsidR="00BD0A2A" w:rsidRDefault="00BD0A2A" w:rsidP="00BD0A2A">
      <w:pPr>
        <w:pStyle w:val="ad"/>
        <w:spacing w:after="160" w:line="360" w:lineRule="auto"/>
        <w:ind w:left="360"/>
        <w:jc w:val="both"/>
        <w:rPr>
          <w:rFonts w:ascii="David" w:hAnsi="David"/>
          <w:noProof w:val="0"/>
        </w:rPr>
      </w:pPr>
    </w:p>
    <w:p w:rsidR="00B336BA" w:rsidRDefault="00B336BA" w:rsidP="00BD0A2A">
      <w:pPr>
        <w:pStyle w:val="ad"/>
        <w:numPr>
          <w:ilvl w:val="0"/>
          <w:numId w:val="1"/>
        </w:numPr>
        <w:spacing w:after="160" w:line="360" w:lineRule="auto"/>
        <w:jc w:val="both"/>
        <w:rPr>
          <w:rFonts w:ascii="David" w:hAnsi="David"/>
          <w:noProof w:val="0"/>
        </w:rPr>
      </w:pPr>
      <w:r>
        <w:rPr>
          <w:rFonts w:ascii="David" w:hAnsi="David" w:hint="cs"/>
          <w:noProof w:val="0"/>
          <w:rtl/>
        </w:rPr>
        <w:t>לטענתה גם בקשה זו הינה הליך סרק חסר בסיס שמתבסס על טענות</w:t>
      </w:r>
      <w:r w:rsidR="00BD0A2A">
        <w:rPr>
          <w:rFonts w:ascii="David" w:hAnsi="David" w:hint="cs"/>
          <w:noProof w:val="0"/>
          <w:rtl/>
        </w:rPr>
        <w:t xml:space="preserve"> ו</w:t>
      </w:r>
      <w:r>
        <w:rPr>
          <w:rFonts w:ascii="David" w:hAnsi="David" w:hint="cs"/>
          <w:noProof w:val="0"/>
          <w:rtl/>
        </w:rPr>
        <w:t>סיסמאות סתמיות.</w:t>
      </w:r>
    </w:p>
    <w:p w:rsidR="00B336BA" w:rsidRDefault="00BD0A2A" w:rsidP="00BD0A2A">
      <w:pPr>
        <w:pStyle w:val="ad"/>
        <w:numPr>
          <w:ilvl w:val="0"/>
          <w:numId w:val="1"/>
        </w:numPr>
        <w:spacing w:after="160" w:line="360" w:lineRule="auto"/>
        <w:jc w:val="both"/>
        <w:rPr>
          <w:rFonts w:ascii="David" w:hAnsi="David"/>
          <w:noProof w:val="0"/>
        </w:rPr>
      </w:pPr>
      <w:r>
        <w:rPr>
          <w:rFonts w:ascii="David" w:hAnsi="David" w:hint="cs"/>
          <w:noProof w:val="0"/>
          <w:rtl/>
        </w:rPr>
        <w:t xml:space="preserve">המשיבה מבהירה כי </w:t>
      </w:r>
      <w:r w:rsidR="00B336BA">
        <w:rPr>
          <w:rFonts w:ascii="David" w:hAnsi="David" w:hint="cs"/>
          <w:noProof w:val="0"/>
          <w:rtl/>
        </w:rPr>
        <w:t xml:space="preserve">למותב זה אין "היכרות מוקדמת" עם הצדדים, הצדדים אף פעם לא התייצבו בפנייה לדיון. היכרותו של בית המשפט נובעת משלוש בקשות ליישוב סכסוך ארוכות ומסורבלות שהגיש התובע בתוך </w:t>
      </w:r>
      <w:r>
        <w:rPr>
          <w:rFonts w:ascii="David" w:hAnsi="David" w:hint="cs"/>
          <w:noProof w:val="0"/>
          <w:rtl/>
        </w:rPr>
        <w:t xml:space="preserve">פרק זמן קצר יחסית </w:t>
      </w:r>
      <w:r w:rsidR="00B336BA">
        <w:rPr>
          <w:rFonts w:ascii="David" w:hAnsi="David" w:hint="cs"/>
          <w:noProof w:val="0"/>
          <w:rtl/>
        </w:rPr>
        <w:t>תוך ניסיון לניהול הליך "בקיצור דרך" בניגוד לחוק.</w:t>
      </w:r>
    </w:p>
    <w:p w:rsidR="00BD0A2A" w:rsidRDefault="00BD0A2A" w:rsidP="00BD0A2A">
      <w:pPr>
        <w:pStyle w:val="ad"/>
        <w:spacing w:after="160" w:line="360" w:lineRule="auto"/>
        <w:ind w:left="360"/>
        <w:jc w:val="both"/>
        <w:rPr>
          <w:rFonts w:ascii="David" w:hAnsi="David"/>
          <w:noProof w:val="0"/>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על אף התנהלותו החריגה של התובע בהליך יישוב הסכסוך, נתן בית המשפט מספר החלטות בניסיון לקדם את הקשר בין האב לבנות ואף קיבל לבקשת התובע לפנים משורת הדין דיווחים מקצועיים מיחידת הסיוע</w:t>
      </w:r>
      <w:r w:rsidR="00BD0A2A">
        <w:rPr>
          <w:rFonts w:ascii="David" w:hAnsi="David" w:hint="cs"/>
          <w:noProof w:val="0"/>
          <w:rtl/>
        </w:rPr>
        <w:t xml:space="preserve"> במסגרת הליכי הי"ס</w:t>
      </w:r>
      <w:r>
        <w:rPr>
          <w:rFonts w:ascii="David" w:hAnsi="David" w:hint="cs"/>
          <w:noProof w:val="0"/>
          <w:rtl/>
        </w:rPr>
        <w:t>.</w:t>
      </w:r>
    </w:p>
    <w:p w:rsidR="00BD0A2A" w:rsidRPr="00BD0A2A" w:rsidRDefault="00BD0A2A" w:rsidP="00BD0A2A">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בהתאם לסדרי הדין הייתה הצדקה לסגירת ההליכים והפניית התובע לעתירה לסעדים במסגרת תביעות מסודרות ולא קיצורי דרך, עם זאת התיקים נסגרו רק כאשר המבקש דרש זאת על כן לא ברור על מה הוא מלין.</w:t>
      </w:r>
    </w:p>
    <w:p w:rsidR="00BD0A2A" w:rsidRPr="00BD0A2A" w:rsidRDefault="00BD0A2A" w:rsidP="00BD0A2A">
      <w:pPr>
        <w:pStyle w:val="ad"/>
        <w:rPr>
          <w:rFonts w:ascii="David" w:hAnsi="David"/>
          <w:noProof w:val="0"/>
          <w:rtl/>
        </w:rPr>
      </w:pPr>
    </w:p>
    <w:p w:rsidR="00B336BA" w:rsidRDefault="00B336BA" w:rsidP="00BD0A2A">
      <w:pPr>
        <w:pStyle w:val="ad"/>
        <w:numPr>
          <w:ilvl w:val="0"/>
          <w:numId w:val="1"/>
        </w:numPr>
        <w:spacing w:after="160" w:line="360" w:lineRule="auto"/>
        <w:jc w:val="both"/>
        <w:rPr>
          <w:rFonts w:ascii="David" w:hAnsi="David"/>
          <w:noProof w:val="0"/>
        </w:rPr>
      </w:pPr>
      <w:r>
        <w:rPr>
          <w:rFonts w:ascii="David" w:hAnsi="David" w:hint="cs"/>
          <w:noProof w:val="0"/>
          <w:rtl/>
        </w:rPr>
        <w:t xml:space="preserve">כלל הידוע בדיני משפחה הינו </w:t>
      </w:r>
      <w:r>
        <w:rPr>
          <w:rFonts w:ascii="David" w:hAnsi="David" w:hint="cs"/>
          <w:noProof w:val="0"/>
        </w:rPr>
        <w:t>ONE FAMILY ONE JUDGE</w:t>
      </w:r>
      <w:r w:rsidR="00BD0A2A">
        <w:rPr>
          <w:rFonts w:ascii="David" w:hAnsi="David"/>
          <w:noProof w:val="0"/>
        </w:rPr>
        <w:t>"</w:t>
      </w:r>
      <w:r>
        <w:rPr>
          <w:rFonts w:ascii="David" w:hAnsi="David" w:hint="cs"/>
          <w:noProof w:val="0"/>
        </w:rPr>
        <w:t xml:space="preserve"> </w:t>
      </w:r>
      <w:r>
        <w:rPr>
          <w:rFonts w:ascii="David" w:hAnsi="David"/>
          <w:noProof w:val="0"/>
        </w:rPr>
        <w:t xml:space="preserve"> </w:t>
      </w:r>
      <w:r w:rsidR="00BD0A2A">
        <w:rPr>
          <w:rFonts w:ascii="David" w:hAnsi="David" w:hint="cs"/>
          <w:noProof w:val="0"/>
          <w:rtl/>
        </w:rPr>
        <w:t xml:space="preserve">"  </w:t>
      </w:r>
      <w:r>
        <w:rPr>
          <w:rFonts w:ascii="David" w:hAnsi="David" w:hint="cs"/>
          <w:noProof w:val="0"/>
          <w:rtl/>
        </w:rPr>
        <w:t>הרציונל העומד מאחורי</w:t>
      </w:r>
      <w:r w:rsidR="00BD0A2A">
        <w:rPr>
          <w:rFonts w:ascii="David" w:hAnsi="David" w:hint="cs"/>
          <w:noProof w:val="0"/>
          <w:rtl/>
        </w:rPr>
        <w:t xml:space="preserve"> הכלל</w:t>
      </w:r>
      <w:r>
        <w:rPr>
          <w:rFonts w:ascii="David" w:hAnsi="David" w:hint="cs"/>
          <w:noProof w:val="0"/>
          <w:rtl/>
        </w:rPr>
        <w:t xml:space="preserve"> ה</w:t>
      </w:r>
      <w:r w:rsidR="00BD0A2A">
        <w:rPr>
          <w:rFonts w:ascii="David" w:hAnsi="David" w:hint="cs"/>
          <w:noProof w:val="0"/>
          <w:rtl/>
        </w:rPr>
        <w:t>נו</w:t>
      </w:r>
      <w:r>
        <w:rPr>
          <w:rFonts w:ascii="David" w:hAnsi="David" w:hint="cs"/>
          <w:noProof w:val="0"/>
          <w:rtl/>
        </w:rPr>
        <w:t xml:space="preserve"> החשיבות העליונה לכך שאותו </w:t>
      </w:r>
      <w:r w:rsidR="00BD0A2A">
        <w:rPr>
          <w:rFonts w:ascii="David" w:hAnsi="David" w:hint="cs"/>
          <w:noProof w:val="0"/>
          <w:rtl/>
        </w:rPr>
        <w:t>מותב</w:t>
      </w:r>
      <w:r>
        <w:rPr>
          <w:rFonts w:ascii="David" w:hAnsi="David" w:hint="cs"/>
          <w:noProof w:val="0"/>
          <w:rtl/>
        </w:rPr>
        <w:t xml:space="preserve"> י</w:t>
      </w:r>
      <w:r w:rsidR="00BD0A2A">
        <w:rPr>
          <w:rFonts w:ascii="David" w:hAnsi="David" w:hint="cs"/>
          <w:noProof w:val="0"/>
          <w:rtl/>
        </w:rPr>
        <w:t>י</w:t>
      </w:r>
      <w:r>
        <w:rPr>
          <w:rFonts w:ascii="David" w:hAnsi="David" w:hint="cs"/>
          <w:noProof w:val="0"/>
          <w:rtl/>
        </w:rPr>
        <w:t xml:space="preserve">דון בשלל הסכסוכים באותה משפחה, </w:t>
      </w:r>
      <w:r w:rsidR="00BD0A2A">
        <w:rPr>
          <w:rFonts w:ascii="David" w:hAnsi="David" w:hint="cs"/>
          <w:noProof w:val="0"/>
          <w:rtl/>
        </w:rPr>
        <w:t xml:space="preserve">על כל המשתמע מכך תוך קבלת פרספקטיבה רחבה, </w:t>
      </w:r>
      <w:r>
        <w:rPr>
          <w:rFonts w:ascii="David" w:hAnsi="David" w:hint="cs"/>
          <w:noProof w:val="0"/>
          <w:rtl/>
        </w:rPr>
        <w:t>כך שטענות המבקש מנוגדת להיגיון שב</w:t>
      </w:r>
      <w:r w:rsidR="00BD0A2A">
        <w:rPr>
          <w:rFonts w:ascii="David" w:hAnsi="David" w:hint="cs"/>
          <w:noProof w:val="0"/>
          <w:rtl/>
        </w:rPr>
        <w:t>כלל</w:t>
      </w:r>
      <w:r>
        <w:rPr>
          <w:rFonts w:ascii="David" w:hAnsi="David" w:hint="cs"/>
          <w:noProof w:val="0"/>
          <w:rtl/>
        </w:rPr>
        <w:t xml:space="preserve">. </w:t>
      </w:r>
    </w:p>
    <w:p w:rsidR="00BD0A2A" w:rsidRPr="00BD0A2A" w:rsidRDefault="00BD0A2A" w:rsidP="00BD0A2A">
      <w:pPr>
        <w:pStyle w:val="ad"/>
        <w:rPr>
          <w:rFonts w:ascii="David" w:hAnsi="David"/>
          <w:noProof w:val="0"/>
          <w:rtl/>
        </w:rPr>
      </w:pPr>
    </w:p>
    <w:p w:rsidR="00B336BA" w:rsidRDefault="00B336BA" w:rsidP="00BD0A2A">
      <w:pPr>
        <w:pStyle w:val="ad"/>
        <w:numPr>
          <w:ilvl w:val="0"/>
          <w:numId w:val="1"/>
        </w:numPr>
        <w:spacing w:after="160" w:line="360" w:lineRule="auto"/>
        <w:jc w:val="both"/>
        <w:rPr>
          <w:rFonts w:ascii="David" w:hAnsi="David"/>
          <w:noProof w:val="0"/>
        </w:rPr>
      </w:pPr>
      <w:r>
        <w:rPr>
          <w:rFonts w:ascii="David" w:hAnsi="David" w:hint="cs"/>
          <w:noProof w:val="0"/>
          <w:rtl/>
        </w:rPr>
        <w:t xml:space="preserve">החלטות המותב אינן נובעות מהיכרות אישית אלא </w:t>
      </w:r>
      <w:r w:rsidR="00BD0A2A">
        <w:rPr>
          <w:rFonts w:ascii="David" w:hAnsi="David" w:hint="cs"/>
          <w:noProof w:val="0"/>
          <w:rtl/>
        </w:rPr>
        <w:t>מ</w:t>
      </w:r>
      <w:r>
        <w:rPr>
          <w:rFonts w:ascii="David" w:hAnsi="David" w:hint="cs"/>
          <w:noProof w:val="0"/>
          <w:rtl/>
        </w:rPr>
        <w:t>היכרות עם התיק, ככל ודעתה של המותב הייתה מוטית, בקשות הסרק של התובע היו נדחות על הסף וה</w:t>
      </w:r>
      <w:r w:rsidR="00BD0A2A">
        <w:rPr>
          <w:rFonts w:ascii="David" w:hAnsi="David" w:hint="cs"/>
          <w:noProof w:val="0"/>
          <w:rtl/>
        </w:rPr>
        <w:t>מבקשת</w:t>
      </w:r>
      <w:r>
        <w:rPr>
          <w:rFonts w:ascii="David" w:hAnsi="David" w:hint="cs"/>
          <w:noProof w:val="0"/>
          <w:rtl/>
        </w:rPr>
        <w:t xml:space="preserve"> לא הייתה נדרש</w:t>
      </w:r>
      <w:r w:rsidR="00BD0A2A">
        <w:rPr>
          <w:rFonts w:ascii="David" w:hAnsi="David" w:hint="cs"/>
          <w:noProof w:val="0"/>
          <w:rtl/>
        </w:rPr>
        <w:t>ת</w:t>
      </w:r>
      <w:r>
        <w:rPr>
          <w:rFonts w:ascii="David" w:hAnsi="David" w:hint="cs"/>
          <w:noProof w:val="0"/>
          <w:rtl/>
        </w:rPr>
        <w:t xml:space="preserve"> להשיב להן שוב ושוב לרבות </w:t>
      </w:r>
      <w:r w:rsidR="00BD0A2A">
        <w:rPr>
          <w:rFonts w:ascii="David" w:hAnsi="David" w:hint="cs"/>
          <w:noProof w:val="0"/>
          <w:rtl/>
        </w:rPr>
        <w:t>ל</w:t>
      </w:r>
      <w:r>
        <w:rPr>
          <w:rFonts w:ascii="David" w:hAnsi="David" w:hint="cs"/>
          <w:noProof w:val="0"/>
          <w:rtl/>
        </w:rPr>
        <w:t>בקשת סרק זו.</w:t>
      </w:r>
    </w:p>
    <w:p w:rsidR="00BD0A2A" w:rsidRPr="00BD0A2A" w:rsidRDefault="00BD0A2A" w:rsidP="00BD0A2A">
      <w:pPr>
        <w:pStyle w:val="ad"/>
        <w:rPr>
          <w:rFonts w:ascii="David" w:hAnsi="David"/>
          <w:noProof w:val="0"/>
          <w:rtl/>
        </w:rPr>
      </w:pPr>
    </w:p>
    <w:p w:rsidR="00B336BA" w:rsidRDefault="00B336BA" w:rsidP="00C42EE1">
      <w:pPr>
        <w:pStyle w:val="ad"/>
        <w:numPr>
          <w:ilvl w:val="0"/>
          <w:numId w:val="1"/>
        </w:numPr>
        <w:spacing w:after="160" w:line="360" w:lineRule="auto"/>
        <w:jc w:val="both"/>
        <w:rPr>
          <w:rFonts w:ascii="David" w:hAnsi="David"/>
          <w:noProof w:val="0"/>
        </w:rPr>
      </w:pPr>
      <w:r>
        <w:rPr>
          <w:rFonts w:ascii="David" w:hAnsi="David" w:hint="cs"/>
          <w:noProof w:val="0"/>
          <w:rtl/>
        </w:rPr>
        <w:t xml:space="preserve">טענת המבקש על גיבוש דעה מראש נטענת בסתמיות ובהעדר </w:t>
      </w:r>
      <w:r w:rsidR="00BD0A2A">
        <w:rPr>
          <w:rFonts w:ascii="David" w:hAnsi="David" w:hint="cs"/>
          <w:noProof w:val="0"/>
          <w:rtl/>
        </w:rPr>
        <w:t xml:space="preserve">כל </w:t>
      </w:r>
      <w:r>
        <w:rPr>
          <w:rFonts w:ascii="David" w:hAnsi="David" w:hint="cs"/>
          <w:noProof w:val="0"/>
          <w:rtl/>
        </w:rPr>
        <w:t>בסיס</w:t>
      </w:r>
      <w:r w:rsidR="00BD0A2A">
        <w:rPr>
          <w:rFonts w:ascii="David" w:hAnsi="David" w:hint="cs"/>
          <w:noProof w:val="0"/>
          <w:rtl/>
        </w:rPr>
        <w:t>.</w:t>
      </w:r>
      <w:r>
        <w:rPr>
          <w:rFonts w:ascii="David" w:hAnsi="David" w:hint="cs"/>
          <w:noProof w:val="0"/>
          <w:rtl/>
        </w:rPr>
        <w:t xml:space="preserve"> בהתאם להלכה רק במקרים נדירים בהם התבטאויות השופט הן בעלות אופי מובהק ונחרץ המלמד על נעילת דעתו תק</w:t>
      </w:r>
      <w:r w:rsidR="00BD0A2A">
        <w:rPr>
          <w:rFonts w:ascii="David" w:hAnsi="David" w:hint="cs"/>
          <w:noProof w:val="0"/>
          <w:rtl/>
        </w:rPr>
        <w:t>ו</w:t>
      </w:r>
      <w:r>
        <w:rPr>
          <w:rFonts w:ascii="David" w:hAnsi="David" w:hint="cs"/>
          <w:noProof w:val="0"/>
          <w:rtl/>
        </w:rPr>
        <w:t>ם הצדקה לפסיל</w:t>
      </w:r>
      <w:r w:rsidR="00C42EE1">
        <w:rPr>
          <w:rFonts w:ascii="David" w:hAnsi="David" w:hint="cs"/>
          <w:noProof w:val="0"/>
          <w:rtl/>
        </w:rPr>
        <w:t>ת המותב היושב בדין</w:t>
      </w:r>
      <w:r>
        <w:rPr>
          <w:rFonts w:ascii="David" w:hAnsi="David" w:hint="cs"/>
          <w:noProof w:val="0"/>
          <w:rtl/>
        </w:rPr>
        <w:t xml:space="preserve">. כך גם יש ליתן משקל </w:t>
      </w:r>
      <w:r w:rsidR="00C42EE1">
        <w:rPr>
          <w:rFonts w:ascii="David" w:hAnsi="David" w:hint="cs"/>
          <w:noProof w:val="0"/>
          <w:rtl/>
        </w:rPr>
        <w:t xml:space="preserve">משמעותי </w:t>
      </w:r>
      <w:r>
        <w:rPr>
          <w:rFonts w:ascii="David" w:hAnsi="David" w:hint="cs"/>
          <w:noProof w:val="0"/>
          <w:rtl/>
        </w:rPr>
        <w:t xml:space="preserve">לשלב הדיוני בו הובעה העמדה. </w:t>
      </w:r>
      <w:r w:rsidR="00C42EE1">
        <w:rPr>
          <w:rFonts w:ascii="David" w:hAnsi="David" w:hint="cs"/>
          <w:noProof w:val="0"/>
          <w:rtl/>
        </w:rPr>
        <w:t>במקרה זה טרם מתן כל החלטה מהותית בתיק ואף טרם שנערך דיון בו יכול היה המותב לכאורה לגבש עמדה על מי מהצדדים.</w:t>
      </w:r>
    </w:p>
    <w:p w:rsidR="00C42EE1" w:rsidRPr="00C42EE1" w:rsidRDefault="00C42EE1" w:rsidP="00C42EE1">
      <w:pPr>
        <w:pStyle w:val="ad"/>
        <w:rPr>
          <w:rFonts w:ascii="David" w:hAnsi="David"/>
          <w:noProof w:val="0"/>
          <w:rtl/>
        </w:rPr>
      </w:pPr>
    </w:p>
    <w:p w:rsidR="00B336BA" w:rsidRDefault="00B336BA" w:rsidP="00C42EE1">
      <w:pPr>
        <w:pStyle w:val="ad"/>
        <w:numPr>
          <w:ilvl w:val="0"/>
          <w:numId w:val="1"/>
        </w:numPr>
        <w:spacing w:after="160" w:line="360" w:lineRule="auto"/>
        <w:jc w:val="both"/>
        <w:rPr>
          <w:rFonts w:ascii="David" w:hAnsi="David"/>
          <w:noProof w:val="0"/>
        </w:rPr>
      </w:pPr>
      <w:r w:rsidRPr="000378B3">
        <w:rPr>
          <w:rFonts w:ascii="David" w:hAnsi="David" w:hint="cs"/>
          <w:noProof w:val="0"/>
          <w:rtl/>
        </w:rPr>
        <w:t xml:space="preserve">בהליכים </w:t>
      </w:r>
      <w:r w:rsidR="00C42EE1">
        <w:rPr>
          <w:rFonts w:ascii="David" w:hAnsi="David" w:hint="cs"/>
          <w:noProof w:val="0"/>
          <w:rtl/>
        </w:rPr>
        <w:t xml:space="preserve">שהתנהלו עד כה </w:t>
      </w:r>
      <w:r w:rsidRPr="000378B3">
        <w:rPr>
          <w:rFonts w:ascii="David" w:hAnsi="David" w:hint="cs"/>
          <w:noProof w:val="0"/>
          <w:rtl/>
        </w:rPr>
        <w:t xml:space="preserve">לא </w:t>
      </w:r>
      <w:r w:rsidR="00C42EE1">
        <w:rPr>
          <w:rFonts w:ascii="David" w:hAnsi="David" w:hint="cs"/>
          <w:noProof w:val="0"/>
          <w:rtl/>
        </w:rPr>
        <w:t>נצפו כל</w:t>
      </w:r>
      <w:r w:rsidRPr="000378B3">
        <w:rPr>
          <w:rFonts w:ascii="David" w:hAnsi="David" w:hint="cs"/>
          <w:noProof w:val="0"/>
          <w:rtl/>
        </w:rPr>
        <w:t xml:space="preserve"> התבטאויות חריגות או חד צדדיות של בית המשפט ואף לא הוצגו כאלה</w:t>
      </w:r>
      <w:r w:rsidR="00C42EE1">
        <w:rPr>
          <w:rFonts w:ascii="David" w:hAnsi="David" w:hint="cs"/>
          <w:noProof w:val="0"/>
          <w:rtl/>
        </w:rPr>
        <w:t xml:space="preserve"> על ידי המבקש במסגרת בקשתו</w:t>
      </w:r>
      <w:r w:rsidRPr="000378B3">
        <w:rPr>
          <w:rFonts w:ascii="David" w:hAnsi="David" w:hint="cs"/>
          <w:noProof w:val="0"/>
          <w:rtl/>
        </w:rPr>
        <w:t xml:space="preserve">.  ההתבטאויות שהציג המבקש בסעיף 5 לבקשתו אינן נחרצות ואין בהם כדי להעיד על "נעילת" דעתו של המותב. </w:t>
      </w:r>
    </w:p>
    <w:p w:rsidR="00C42EE1" w:rsidRPr="00C42EE1" w:rsidRDefault="00C42EE1" w:rsidP="00C42EE1">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sidRPr="000378B3">
        <w:rPr>
          <w:rFonts w:ascii="David" w:hAnsi="David" w:hint="cs"/>
          <w:noProof w:val="0"/>
          <w:rtl/>
        </w:rPr>
        <w:t xml:space="preserve">ההחלטה שהציג המבקש </w:t>
      </w:r>
      <w:r w:rsidR="00C42EE1">
        <w:rPr>
          <w:rFonts w:ascii="David" w:hAnsi="David" w:hint="cs"/>
          <w:noProof w:val="0"/>
          <w:rtl/>
        </w:rPr>
        <w:t>א</w:t>
      </w:r>
      <w:r w:rsidRPr="000378B3">
        <w:rPr>
          <w:rFonts w:ascii="David" w:hAnsi="David" w:hint="cs"/>
          <w:noProof w:val="0"/>
          <w:rtl/>
        </w:rPr>
        <w:t>ש</w:t>
      </w:r>
      <w:r w:rsidR="00C42EE1">
        <w:rPr>
          <w:rFonts w:ascii="David" w:hAnsi="David" w:hint="cs"/>
          <w:noProof w:val="0"/>
          <w:rtl/>
        </w:rPr>
        <w:t xml:space="preserve">ר </w:t>
      </w:r>
      <w:r w:rsidRPr="000378B3">
        <w:rPr>
          <w:rFonts w:ascii="David" w:hAnsi="David" w:hint="cs"/>
          <w:noProof w:val="0"/>
          <w:rtl/>
        </w:rPr>
        <w:t xml:space="preserve">ממליצה לו לשקול את צעדיו נוכח מצבה </w:t>
      </w:r>
      <w:r w:rsidR="00C42EE1">
        <w:rPr>
          <w:rFonts w:ascii="David" w:hAnsi="David" w:hint="cs"/>
          <w:noProof w:val="0"/>
          <w:rtl/>
        </w:rPr>
        <w:t xml:space="preserve">הרפואי </w:t>
      </w:r>
      <w:r w:rsidRPr="000378B3">
        <w:rPr>
          <w:rFonts w:ascii="David" w:hAnsi="David" w:hint="cs"/>
          <w:noProof w:val="0"/>
          <w:rtl/>
        </w:rPr>
        <w:t xml:space="preserve">של </w:t>
      </w:r>
      <w:r w:rsidR="00C42EE1">
        <w:rPr>
          <w:rFonts w:ascii="David" w:hAnsi="David" w:hint="cs"/>
          <w:noProof w:val="0"/>
          <w:rtl/>
        </w:rPr>
        <w:t xml:space="preserve">הבת המשותפת </w:t>
      </w:r>
      <w:r w:rsidR="00FE1874">
        <w:rPr>
          <w:rFonts w:ascii="David" w:hAnsi="David" w:hint="cs"/>
          <w:noProof w:val="0"/>
        </w:rPr>
        <w:t>XX</w:t>
      </w:r>
      <w:r w:rsidRPr="000378B3">
        <w:rPr>
          <w:rFonts w:ascii="David" w:hAnsi="David" w:hint="cs"/>
          <w:noProof w:val="0"/>
          <w:rtl/>
        </w:rPr>
        <w:t xml:space="preserve"> אינה פסולה ואף מתבקשת נוכח מצבה העדין והסכנה לשלומה וממילא אין </w:t>
      </w:r>
      <w:r w:rsidRPr="000378B3">
        <w:rPr>
          <w:rFonts w:ascii="David" w:hAnsi="David" w:hint="cs"/>
          <w:noProof w:val="0"/>
          <w:rtl/>
        </w:rPr>
        <w:lastRenderedPageBreak/>
        <w:t xml:space="preserve">להחלטה זו שום משמעות אופרטיבית. אין בהחלטה זו </w:t>
      </w:r>
      <w:r w:rsidR="00C42EE1">
        <w:rPr>
          <w:rFonts w:ascii="David" w:hAnsi="David" w:hint="cs"/>
          <w:noProof w:val="0"/>
          <w:rtl/>
        </w:rPr>
        <w:t xml:space="preserve">כל </w:t>
      </w:r>
      <w:r>
        <w:rPr>
          <w:rFonts w:ascii="David" w:hAnsi="David" w:hint="cs"/>
          <w:noProof w:val="0"/>
          <w:rtl/>
        </w:rPr>
        <w:t>קביעה המונעת</w:t>
      </w:r>
      <w:r w:rsidRPr="000378B3">
        <w:rPr>
          <w:rFonts w:ascii="David" w:hAnsi="David" w:hint="cs"/>
          <w:noProof w:val="0"/>
          <w:rtl/>
        </w:rPr>
        <w:t xml:space="preserve"> מהמבקש להמשיך בהגשת בקשות והליכי סרק כפי שהוא </w:t>
      </w:r>
      <w:r>
        <w:rPr>
          <w:rFonts w:ascii="David" w:hAnsi="David" w:hint="cs"/>
          <w:noProof w:val="0"/>
          <w:rtl/>
        </w:rPr>
        <w:t xml:space="preserve">אכן </w:t>
      </w:r>
      <w:r w:rsidRPr="000378B3">
        <w:rPr>
          <w:rFonts w:ascii="David" w:hAnsi="David" w:hint="cs"/>
          <w:noProof w:val="0"/>
          <w:rtl/>
        </w:rPr>
        <w:t xml:space="preserve">ממשיך </w:t>
      </w:r>
      <w:r>
        <w:rPr>
          <w:rFonts w:ascii="David" w:hAnsi="David" w:hint="cs"/>
          <w:noProof w:val="0"/>
          <w:rtl/>
        </w:rPr>
        <w:t>לעשות</w:t>
      </w:r>
      <w:r w:rsidRPr="000378B3">
        <w:rPr>
          <w:rFonts w:ascii="David" w:hAnsi="David" w:hint="cs"/>
          <w:noProof w:val="0"/>
          <w:rtl/>
        </w:rPr>
        <w:t xml:space="preserve"> </w:t>
      </w:r>
      <w:r>
        <w:rPr>
          <w:rFonts w:ascii="David" w:hAnsi="David" w:hint="cs"/>
          <w:noProof w:val="0"/>
          <w:rtl/>
        </w:rPr>
        <w:t>בניגוד</w:t>
      </w:r>
      <w:r w:rsidRPr="000378B3">
        <w:rPr>
          <w:rFonts w:ascii="David" w:hAnsi="David" w:hint="cs"/>
          <w:noProof w:val="0"/>
          <w:rtl/>
        </w:rPr>
        <w:t xml:space="preserve"> </w:t>
      </w:r>
      <w:r>
        <w:rPr>
          <w:rFonts w:ascii="David" w:hAnsi="David" w:hint="cs"/>
          <w:noProof w:val="0"/>
          <w:rtl/>
        </w:rPr>
        <w:t>ל</w:t>
      </w:r>
      <w:r w:rsidRPr="000378B3">
        <w:rPr>
          <w:rFonts w:ascii="David" w:hAnsi="David" w:hint="cs"/>
          <w:noProof w:val="0"/>
          <w:rtl/>
        </w:rPr>
        <w:t xml:space="preserve">המלצת בית המשפט </w:t>
      </w:r>
      <w:r>
        <w:rPr>
          <w:rFonts w:ascii="David" w:hAnsi="David" w:hint="cs"/>
          <w:noProof w:val="0"/>
          <w:rtl/>
        </w:rPr>
        <w:t xml:space="preserve">כי עליו </w:t>
      </w:r>
      <w:r w:rsidRPr="000378B3">
        <w:rPr>
          <w:rFonts w:ascii="David" w:hAnsi="David" w:hint="cs"/>
          <w:noProof w:val="0"/>
          <w:rtl/>
        </w:rPr>
        <w:t xml:space="preserve">לשקול את מצבה הבריאותי </w:t>
      </w:r>
      <w:r w:rsidR="00C42EE1">
        <w:rPr>
          <w:rFonts w:ascii="David" w:hAnsi="David" w:hint="cs"/>
          <w:noProof w:val="0"/>
          <w:rtl/>
        </w:rPr>
        <w:t xml:space="preserve">של הבת </w:t>
      </w:r>
      <w:r w:rsidR="00FE1874">
        <w:rPr>
          <w:rFonts w:ascii="David" w:hAnsi="David" w:hint="cs"/>
          <w:noProof w:val="0"/>
        </w:rPr>
        <w:t>XX</w:t>
      </w:r>
      <w:r w:rsidR="00C42EE1">
        <w:rPr>
          <w:rFonts w:ascii="David" w:hAnsi="David" w:hint="cs"/>
          <w:noProof w:val="0"/>
          <w:rtl/>
        </w:rPr>
        <w:t xml:space="preserve"> </w:t>
      </w:r>
      <w:r w:rsidRPr="000378B3">
        <w:rPr>
          <w:rFonts w:ascii="David" w:hAnsi="David" w:hint="cs"/>
          <w:noProof w:val="0"/>
          <w:rtl/>
        </w:rPr>
        <w:t xml:space="preserve">ואת התועלת </w:t>
      </w:r>
      <w:r w:rsidR="00C42EE1">
        <w:rPr>
          <w:rFonts w:ascii="David" w:hAnsi="David" w:hint="cs"/>
          <w:noProof w:val="0"/>
          <w:rtl/>
        </w:rPr>
        <w:t xml:space="preserve">שתצמח למשפחה </w:t>
      </w:r>
      <w:r w:rsidRPr="000378B3">
        <w:rPr>
          <w:rFonts w:ascii="David" w:hAnsi="David" w:hint="cs"/>
          <w:noProof w:val="0"/>
          <w:rtl/>
        </w:rPr>
        <w:t>מהגשת ההליכים.</w:t>
      </w:r>
    </w:p>
    <w:p w:rsidR="00C42EE1" w:rsidRPr="00C42EE1" w:rsidRDefault="00C42EE1" w:rsidP="00C42EE1">
      <w:pPr>
        <w:pStyle w:val="ad"/>
        <w:rPr>
          <w:rFonts w:ascii="David" w:hAnsi="David"/>
          <w:noProof w:val="0"/>
          <w:rtl/>
        </w:rPr>
      </w:pPr>
    </w:p>
    <w:p w:rsidR="007E0D44" w:rsidRDefault="00B336BA" w:rsidP="00C42EE1">
      <w:pPr>
        <w:pStyle w:val="ad"/>
        <w:numPr>
          <w:ilvl w:val="0"/>
          <w:numId w:val="1"/>
        </w:numPr>
        <w:spacing w:after="160" w:line="360" w:lineRule="auto"/>
        <w:jc w:val="both"/>
        <w:rPr>
          <w:rFonts w:ascii="David" w:hAnsi="David"/>
          <w:noProof w:val="0"/>
        </w:rPr>
      </w:pPr>
      <w:r>
        <w:rPr>
          <w:rFonts w:ascii="David" w:hAnsi="David" w:hint="cs"/>
          <w:noProof w:val="0"/>
          <w:rtl/>
        </w:rPr>
        <w:t>כך גם טענת</w:t>
      </w:r>
      <w:r w:rsidR="00C42EE1">
        <w:rPr>
          <w:rFonts w:ascii="David" w:hAnsi="David" w:hint="cs"/>
          <w:noProof w:val="0"/>
          <w:rtl/>
        </w:rPr>
        <w:t xml:space="preserve"> המבקש</w:t>
      </w:r>
      <w:r>
        <w:rPr>
          <w:rFonts w:ascii="David" w:hAnsi="David" w:hint="cs"/>
          <w:noProof w:val="0"/>
          <w:rtl/>
        </w:rPr>
        <w:t xml:space="preserve"> אודות חשש ממשי למשוא פנים משוללת </w:t>
      </w:r>
      <w:r w:rsidR="00C42EE1">
        <w:rPr>
          <w:rFonts w:ascii="David" w:hAnsi="David" w:hint="cs"/>
          <w:noProof w:val="0"/>
          <w:rtl/>
        </w:rPr>
        <w:t xml:space="preserve">כל </w:t>
      </w:r>
      <w:r>
        <w:rPr>
          <w:rFonts w:ascii="David" w:hAnsi="David" w:hint="cs"/>
          <w:noProof w:val="0"/>
          <w:rtl/>
        </w:rPr>
        <w:t>יסוד. בהתאם לפסיקה בכדי להקים עילה לפסילת שופט</w:t>
      </w:r>
      <w:r w:rsidR="00C42EE1">
        <w:rPr>
          <w:rFonts w:ascii="David" w:hAnsi="David" w:hint="cs"/>
          <w:noProof w:val="0"/>
          <w:rtl/>
        </w:rPr>
        <w:t>/ת</w:t>
      </w:r>
      <w:r>
        <w:rPr>
          <w:rFonts w:ascii="David" w:hAnsi="David" w:hint="cs"/>
          <w:noProof w:val="0"/>
          <w:rtl/>
        </w:rPr>
        <w:t xml:space="preserve"> נדרש כי האמירה של</w:t>
      </w:r>
      <w:r w:rsidR="00C42EE1">
        <w:rPr>
          <w:rFonts w:ascii="David" w:hAnsi="David" w:hint="cs"/>
          <w:noProof w:val="0"/>
          <w:rtl/>
        </w:rPr>
        <w:t xml:space="preserve"> השופט/ת</w:t>
      </w:r>
      <w:r>
        <w:rPr>
          <w:rFonts w:ascii="David" w:hAnsi="David" w:hint="cs"/>
          <w:noProof w:val="0"/>
          <w:rtl/>
        </w:rPr>
        <w:t xml:space="preserve"> תיצור </w:t>
      </w:r>
      <w:r w:rsidRPr="00C42EE1">
        <w:rPr>
          <w:rFonts w:ascii="David" w:hAnsi="David" w:hint="cs"/>
          <w:noProof w:val="0"/>
          <w:u w:val="single"/>
          <w:rtl/>
        </w:rPr>
        <w:t>אפשרות מסתברת מאוד</w:t>
      </w:r>
      <w:r>
        <w:rPr>
          <w:rFonts w:ascii="David" w:hAnsi="David" w:hint="cs"/>
          <w:noProof w:val="0"/>
          <w:rtl/>
        </w:rPr>
        <w:t xml:space="preserve"> </w:t>
      </w:r>
      <w:r w:rsidRPr="00C42EE1">
        <w:rPr>
          <w:rFonts w:ascii="David" w:hAnsi="David" w:hint="cs"/>
          <w:noProof w:val="0"/>
          <w:u w:val="single"/>
          <w:rtl/>
        </w:rPr>
        <w:t>להבדיל מחשד</w:t>
      </w:r>
      <w:r>
        <w:rPr>
          <w:rFonts w:ascii="David" w:hAnsi="David" w:hint="cs"/>
          <w:noProof w:val="0"/>
          <w:rtl/>
        </w:rPr>
        <w:t xml:space="preserve"> שנבצר מ</w:t>
      </w:r>
      <w:r w:rsidR="00C42EE1">
        <w:rPr>
          <w:rFonts w:ascii="David" w:hAnsi="David" w:hint="cs"/>
          <w:noProof w:val="0"/>
          <w:rtl/>
        </w:rPr>
        <w:t>השופט/ת</w:t>
      </w:r>
      <w:r>
        <w:rPr>
          <w:rFonts w:ascii="David" w:hAnsi="David" w:hint="cs"/>
          <w:noProof w:val="0"/>
          <w:rtl/>
        </w:rPr>
        <w:t xml:space="preserve"> לדון באופן </w:t>
      </w:r>
      <w:r w:rsidR="00C42EE1">
        <w:rPr>
          <w:rFonts w:ascii="David" w:hAnsi="David" w:hint="cs"/>
          <w:noProof w:val="0"/>
          <w:rtl/>
        </w:rPr>
        <w:t xml:space="preserve">בעניין שמונח בפניו/יה באופן </w:t>
      </w:r>
      <w:r>
        <w:rPr>
          <w:rFonts w:ascii="David" w:hAnsi="David" w:hint="cs"/>
          <w:noProof w:val="0"/>
          <w:rtl/>
        </w:rPr>
        <w:t>אובייקטיבי. לעניין זה לא די באפשרות "סבירה" בדבר קיומה של דעה קדומה ונדרש להוכיח כי השופט</w:t>
      </w:r>
      <w:r w:rsidR="00C42EE1">
        <w:rPr>
          <w:rFonts w:ascii="David" w:hAnsi="David" w:hint="cs"/>
          <w:noProof w:val="0"/>
          <w:rtl/>
        </w:rPr>
        <w:t>/ת</w:t>
      </w:r>
      <w:r>
        <w:rPr>
          <w:rFonts w:ascii="David" w:hAnsi="David" w:hint="cs"/>
          <w:noProof w:val="0"/>
          <w:rtl/>
        </w:rPr>
        <w:t xml:space="preserve"> גיבש</w:t>
      </w:r>
      <w:r w:rsidR="00C42EE1">
        <w:rPr>
          <w:rFonts w:ascii="David" w:hAnsi="David" w:hint="cs"/>
          <w:noProof w:val="0"/>
          <w:rtl/>
        </w:rPr>
        <w:t>ו</w:t>
      </w:r>
      <w:r>
        <w:rPr>
          <w:rFonts w:ascii="David" w:hAnsi="David" w:hint="cs"/>
          <w:noProof w:val="0"/>
          <w:rtl/>
        </w:rPr>
        <w:t xml:space="preserve"> עמדה סופית בעניין נושא הדיון השיפוטי. </w:t>
      </w:r>
    </w:p>
    <w:p w:rsidR="007E0D44" w:rsidRPr="007E0D44" w:rsidRDefault="007E0D44" w:rsidP="007E0D44">
      <w:pPr>
        <w:pStyle w:val="ad"/>
        <w:rPr>
          <w:rFonts w:ascii="David" w:hAnsi="David"/>
          <w:noProof w:val="0"/>
          <w:rtl/>
        </w:rPr>
      </w:pPr>
    </w:p>
    <w:p w:rsidR="00B336BA" w:rsidRDefault="00B336BA" w:rsidP="00C42EE1">
      <w:pPr>
        <w:pStyle w:val="ad"/>
        <w:numPr>
          <w:ilvl w:val="0"/>
          <w:numId w:val="1"/>
        </w:numPr>
        <w:spacing w:after="160" w:line="360" w:lineRule="auto"/>
        <w:jc w:val="both"/>
        <w:rPr>
          <w:rFonts w:ascii="David" w:hAnsi="David"/>
          <w:noProof w:val="0"/>
        </w:rPr>
      </w:pPr>
      <w:r>
        <w:rPr>
          <w:rFonts w:ascii="David" w:hAnsi="David" w:hint="cs"/>
          <w:noProof w:val="0"/>
          <w:rtl/>
        </w:rPr>
        <w:t>בהליכי יישוב הסכסוך המותב התרה בשני הצדדים לגלות אחריות הורית ולפעול במשותף לטובת הבנות ופרט לטובת הטיפול ב</w:t>
      </w:r>
      <w:r w:rsidR="00FE1874">
        <w:rPr>
          <w:rFonts w:ascii="David" w:hAnsi="David" w:hint="cs"/>
          <w:noProof w:val="0"/>
        </w:rPr>
        <w:t>XX</w:t>
      </w:r>
      <w:r>
        <w:rPr>
          <w:rFonts w:ascii="David" w:hAnsi="David" w:hint="cs"/>
          <w:noProof w:val="0"/>
          <w:rtl/>
        </w:rPr>
        <w:t xml:space="preserve"> והתמקדות בהחלמתה. אמירה זו הגם שנאמרה כלפי שני הצדדים אינה מהווה אמירה סופית לגבי התביעה להפחתת המזונות או כל תביעה אחרת.</w:t>
      </w:r>
    </w:p>
    <w:p w:rsidR="007E0D44" w:rsidRPr="007E0D44" w:rsidRDefault="007E0D44" w:rsidP="007E0D44">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 xml:space="preserve">גם הטענה לעניין רגישות המותב </w:t>
      </w:r>
      <w:r w:rsidR="007E0D44">
        <w:rPr>
          <w:rFonts w:ascii="David" w:hAnsi="David" w:hint="cs"/>
          <w:noProof w:val="0"/>
          <w:rtl/>
        </w:rPr>
        <w:t xml:space="preserve">למצבה של </w:t>
      </w:r>
      <w:r w:rsidR="00FE1874">
        <w:rPr>
          <w:rFonts w:ascii="David" w:hAnsi="David" w:hint="cs"/>
          <w:noProof w:val="0"/>
        </w:rPr>
        <w:t>XX</w:t>
      </w:r>
      <w:r w:rsidR="007E0D44">
        <w:rPr>
          <w:rFonts w:ascii="David" w:hAnsi="David" w:hint="cs"/>
          <w:noProof w:val="0"/>
          <w:rtl/>
        </w:rPr>
        <w:t xml:space="preserve"> </w:t>
      </w:r>
      <w:r>
        <w:rPr>
          <w:rFonts w:ascii="David" w:hAnsi="David" w:hint="cs"/>
          <w:noProof w:val="0"/>
          <w:rtl/>
        </w:rPr>
        <w:t xml:space="preserve">אינה מהווה הצדקה לקבלת הבקשה. אין מחלוקת כי מצבה של </w:t>
      </w:r>
      <w:r w:rsidR="00FE1874">
        <w:rPr>
          <w:rFonts w:ascii="David" w:hAnsi="David" w:hint="cs"/>
          <w:noProof w:val="0"/>
        </w:rPr>
        <w:t>XX</w:t>
      </w:r>
      <w:r>
        <w:rPr>
          <w:rFonts w:ascii="David" w:hAnsi="David" w:hint="cs"/>
          <w:noProof w:val="0"/>
          <w:rtl/>
        </w:rPr>
        <w:t xml:space="preserve"> קשה </w:t>
      </w:r>
      <w:r w:rsidR="007E0D44">
        <w:rPr>
          <w:rFonts w:ascii="David" w:hAnsi="David" w:hint="cs"/>
          <w:noProof w:val="0"/>
          <w:rtl/>
        </w:rPr>
        <w:t xml:space="preserve">מאד </w:t>
      </w:r>
      <w:r>
        <w:rPr>
          <w:rFonts w:ascii="David" w:hAnsi="David" w:hint="cs"/>
          <w:noProof w:val="0"/>
          <w:rtl/>
        </w:rPr>
        <w:t>והיא נתונה לא אחת בסכנת חיים, לפיכך ראוי כי בית המשפט ינהג בזהירת ורגישות למצב זה ולהיותה של המשיבה המטפלת היחידה ב</w:t>
      </w:r>
      <w:r w:rsidR="00FE1874">
        <w:rPr>
          <w:rFonts w:ascii="David" w:hAnsi="David" w:hint="cs"/>
          <w:noProof w:val="0"/>
        </w:rPr>
        <w:t>XX</w:t>
      </w:r>
      <w:r>
        <w:rPr>
          <w:rFonts w:ascii="David" w:hAnsi="David" w:hint="cs"/>
          <w:noProof w:val="0"/>
          <w:rtl/>
        </w:rPr>
        <w:t xml:space="preserve"> מזה מספר שנים. אין קשר בין ההכרעות שנסמכו על מצב משפחתי ולא על מצבה הרפואי של </w:t>
      </w:r>
      <w:r w:rsidR="00FE1874">
        <w:rPr>
          <w:rFonts w:ascii="David" w:hAnsi="David" w:hint="cs"/>
          <w:noProof w:val="0"/>
        </w:rPr>
        <w:t>XX</w:t>
      </w:r>
      <w:r>
        <w:rPr>
          <w:rFonts w:ascii="David" w:hAnsi="David" w:hint="cs"/>
          <w:noProof w:val="0"/>
          <w:rtl/>
        </w:rPr>
        <w:t>. דומה כי המבקש מעדיף כי בית המשפט ינהג כמותו ב"אטימות לב".</w:t>
      </w:r>
    </w:p>
    <w:p w:rsidR="007E0D44" w:rsidRPr="007E0D44" w:rsidRDefault="007E0D44" w:rsidP="007E0D44">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לטענת המשיבה, גם הליך זה להפחתת מזונות הינו תביעת סרק חסרת סיכוי משפטי לאור הוראות הסכם הגירושין שקובע כי תשלומי המזונות הם חלק מאיזון הזכויות הרכושי שלא ניתן לשינוי וממילא לא חל שינוי נסיבות המצדיק שינוי ההסכם.</w:t>
      </w:r>
    </w:p>
    <w:p w:rsidR="007E0D44" w:rsidRPr="007E0D44" w:rsidRDefault="007E0D44" w:rsidP="007E0D44">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בשלב מקדמי רשאי בית משפט ולעתים אף מחויב בהבעת עמדה לכאורית ביחס לסיכוי ולסיכון שעומדים בפני בעלי הדין ואין בעובדה זו להקים חשש ממשי למשוא פנים. כך גם נדרש בית המשפט לענייני משפחה לדון בהליכים שונים הקשורים באותה פרשה עובדתית גם בסוגיות שכבר נדונו והוכרעו בהליכים קודמים.</w:t>
      </w:r>
    </w:p>
    <w:p w:rsidR="007E0D44" w:rsidRPr="007E0D44" w:rsidRDefault="007E0D44" w:rsidP="007E0D44">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טענות המבקש נוגעות לתוכן החלטות ולכן מדובר בטענות ערעוריות אשר מקומן אינו בהליכי פסלות והדרך להשיג עליהן היא בהליך ערעור מתאים כפי שפעל בחלק מההחלטות. גם הטענה על הצטברות החלטות דיוניות שאינן מניחות את דעתו של המבקש אינה מקימה עילת פסלות,</w:t>
      </w:r>
      <w:r w:rsidRPr="00FC5A96">
        <w:rPr>
          <w:rFonts w:ascii="David" w:hAnsi="David" w:hint="cs"/>
          <w:noProof w:val="0"/>
          <w:rtl/>
        </w:rPr>
        <w:t xml:space="preserve"> </w:t>
      </w:r>
      <w:r>
        <w:rPr>
          <w:rFonts w:ascii="David" w:hAnsi="David" w:hint="cs"/>
          <w:noProof w:val="0"/>
          <w:rtl/>
        </w:rPr>
        <w:t xml:space="preserve">לא </w:t>
      </w:r>
      <w:r w:rsidRPr="00FC5A96">
        <w:rPr>
          <w:rFonts w:ascii="David" w:hAnsi="David"/>
          <w:noProof w:val="0"/>
          <w:rtl/>
        </w:rPr>
        <w:t>כל החלטה שאינה נושאת חן בעיני בעל דין תגרור אחריה את פסילת המותב.</w:t>
      </w:r>
    </w:p>
    <w:p w:rsidR="007E0D44" w:rsidRPr="007E0D44" w:rsidRDefault="007E0D44" w:rsidP="007E0D44">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lastRenderedPageBreak/>
        <w:t>כך גם לא אחת קיבל בית המשפט את עמדת המבקש ולא את עמדת המשיבה כפי שפורט בסעיף 13 לתגובת המשיבה (ראה החלטות מיום 30.10.23, ומיום 21.1.24, החלטה לעיכוב הליכים במעמד צד אחד מבלי שהייתה לכך הצדקה חוקית ומבלי שנתבקשה תגובת המשיבה).</w:t>
      </w:r>
    </w:p>
    <w:p w:rsidR="007E0D44" w:rsidRPr="007E0D44" w:rsidRDefault="007E0D44" w:rsidP="007E0D44">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 xml:space="preserve">טענת המבקש הועלתה בשיהוי, בקשת פסלות יש להגיש בהזדמנות הראשונה, בבקשה מלין המבקש על החלטות ישנות רק לאחר שעמדתו </w:t>
      </w:r>
      <w:r w:rsidR="007E0D44">
        <w:rPr>
          <w:rFonts w:ascii="David" w:hAnsi="David" w:hint="cs"/>
          <w:noProof w:val="0"/>
          <w:rtl/>
        </w:rPr>
        <w:t xml:space="preserve">בערעור על החלטת הרשמת </w:t>
      </w:r>
      <w:r>
        <w:rPr>
          <w:rFonts w:ascii="David" w:hAnsi="David" w:hint="cs"/>
          <w:noProof w:val="0"/>
          <w:rtl/>
        </w:rPr>
        <w:t>נדחתה.</w:t>
      </w:r>
    </w:p>
    <w:p w:rsidR="007E0D44" w:rsidRPr="007E0D44" w:rsidRDefault="007E0D44" w:rsidP="007E0D44">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טענות המבקש לגבי הסיבה לנקיטת הליכים מצדו הגם שאינה רלוונטית לבקשת הפסלות היא גם שקרית כפי שיפורט בכתב ההגנה. ניתוק הקשר מבנותיו הוא באשמתו הבלעדית ואף אחד לא תיאר את ניסיונות חידוש הקשר כהטרדה. בית המשפט הפנה את הצדדים מספר פעמים לניסיונות לשיקום הקשר כפי שעשתה זו אף המשיבה באופן ישיר. המבקש מטרפד כל ניסיון מקצועי וקבלת עזרה לחידוש הקשר, המשיבה הייתה שמחה לו חודש הקשר והמבקש היה מסייע לה פיזית ונפשית בטיפול בבנות.</w:t>
      </w:r>
    </w:p>
    <w:p w:rsidR="007E0D44" w:rsidRPr="007E0D44" w:rsidRDefault="007E0D44" w:rsidP="007E0D44">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 xml:space="preserve">טענת המבקש כי עניין ההוצאות מהלך עליו אימים מוטב כי לא הייתה נטענת שכן </w:t>
      </w:r>
      <w:r w:rsidR="007E0D44">
        <w:rPr>
          <w:rFonts w:ascii="David" w:hAnsi="David" w:hint="cs"/>
          <w:noProof w:val="0"/>
          <w:rtl/>
        </w:rPr>
        <w:t xml:space="preserve">המבקשת </w:t>
      </w:r>
      <w:r>
        <w:rPr>
          <w:rFonts w:ascii="David" w:hAnsi="David" w:hint="cs"/>
          <w:noProof w:val="0"/>
          <w:rtl/>
        </w:rPr>
        <w:t>היא זו הנדרשת להתמודד עם הליכי הסרק שהוא יוזם בנוסף להתמודדותה עם הקשיים שבגידול הבנות והדאגה לפרנסתן, בריאותן ורווחתן.</w:t>
      </w:r>
    </w:p>
    <w:p w:rsidR="007E0D44" w:rsidRPr="007E0D44" w:rsidRDefault="007E0D44" w:rsidP="007E0D44">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לאור כל האמור לעיל, יש לדחות את בקשת הפסלות ולפסוק הוצאות ריאליות עבור בקשה זו שהוגשה ללא הצדקה.</w:t>
      </w:r>
    </w:p>
    <w:p w:rsidR="00B336BA" w:rsidRPr="00FC5A96" w:rsidRDefault="00B336BA" w:rsidP="00B336BA">
      <w:pPr>
        <w:pStyle w:val="ad"/>
        <w:rPr>
          <w:rFonts w:ascii="David" w:hAnsi="David"/>
          <w:noProof w:val="0"/>
          <w:rtl/>
        </w:rPr>
      </w:pPr>
    </w:p>
    <w:p w:rsidR="007E0D44" w:rsidRDefault="007E0D44" w:rsidP="00B336BA">
      <w:pPr>
        <w:spacing w:after="160" w:line="360" w:lineRule="auto"/>
        <w:jc w:val="both"/>
        <w:rPr>
          <w:rFonts w:ascii="David" w:hAnsi="David"/>
          <w:b/>
          <w:bCs/>
          <w:noProof w:val="0"/>
          <w:rtl/>
        </w:rPr>
      </w:pPr>
    </w:p>
    <w:p w:rsidR="00B336BA" w:rsidRDefault="00B336BA" w:rsidP="007E0D44">
      <w:pPr>
        <w:spacing w:after="160" w:line="360" w:lineRule="auto"/>
        <w:ind w:firstLine="360"/>
        <w:jc w:val="both"/>
        <w:rPr>
          <w:rFonts w:ascii="David" w:hAnsi="David"/>
          <w:b/>
          <w:bCs/>
          <w:noProof w:val="0"/>
          <w:rtl/>
        </w:rPr>
      </w:pPr>
      <w:r w:rsidRPr="00170879">
        <w:rPr>
          <w:rFonts w:ascii="David" w:hAnsi="David"/>
          <w:b/>
          <w:bCs/>
          <w:noProof w:val="0"/>
          <w:rtl/>
        </w:rPr>
        <w:t>דיון והכרעה</w:t>
      </w:r>
    </w:p>
    <w:p w:rsidR="00B336BA" w:rsidRDefault="00B336BA" w:rsidP="00B336BA">
      <w:pPr>
        <w:pStyle w:val="ad"/>
        <w:numPr>
          <w:ilvl w:val="0"/>
          <w:numId w:val="1"/>
        </w:numPr>
        <w:spacing w:after="160" w:line="360" w:lineRule="auto"/>
        <w:jc w:val="both"/>
        <w:rPr>
          <w:rFonts w:ascii="David" w:hAnsi="David"/>
          <w:noProof w:val="0"/>
        </w:rPr>
      </w:pPr>
      <w:r w:rsidRPr="008F2720">
        <w:rPr>
          <w:rFonts w:ascii="David" w:hAnsi="David"/>
          <w:noProof w:val="0"/>
          <w:spacing w:val="10"/>
          <w:rtl/>
        </w:rPr>
        <w:t xml:space="preserve">בהתאם לסעיף 77א לחוק בתי המשפט [נוסח משולב], התשמ"ד-1984 (להלן: </w:t>
      </w:r>
      <w:r w:rsidRPr="008F2720">
        <w:rPr>
          <w:rFonts w:ascii="David" w:hAnsi="David"/>
          <w:noProof w:val="0"/>
          <w:rtl/>
        </w:rPr>
        <w:t>חוק בתי המשפט</w:t>
      </w:r>
      <w:r w:rsidRPr="008F2720">
        <w:rPr>
          <w:rFonts w:ascii="David" w:hAnsi="David"/>
          <w:noProof w:val="0"/>
          <w:spacing w:val="10"/>
          <w:rtl/>
        </w:rPr>
        <w:t>), בקשה לפסילת שופט נדרשת להצביע על קיומן של "</w:t>
      </w:r>
      <w:r w:rsidRPr="008F2720">
        <w:rPr>
          <w:rFonts w:ascii="David" w:hAnsi="David"/>
          <w:b/>
          <w:bCs/>
          <w:noProof w:val="0"/>
          <w:rtl/>
        </w:rPr>
        <w:t>נסיבות שיש בהן כדי ליצור חשש ממשי למשוא פנים בניהול המשפט</w:t>
      </w:r>
      <w:r w:rsidRPr="008F2720">
        <w:rPr>
          <w:rFonts w:ascii="David" w:hAnsi="David"/>
          <w:noProof w:val="0"/>
          <w:spacing w:val="10"/>
          <w:rtl/>
        </w:rPr>
        <w:t>".</w:t>
      </w:r>
      <w:r w:rsidRPr="008F2720">
        <w:rPr>
          <w:rFonts w:ascii="David" w:hAnsi="David"/>
          <w:noProof w:val="0"/>
          <w:rtl/>
        </w:rPr>
        <w:t xml:space="preserve"> ניהול הליך קודם בעניינם של הצדדים אין בו כשלעצמו כדי להקים עילת פסלות ועל המבקש את פסילת השופט להוכיח כי קיים חשש ממשי ל"נעילת" דעתו של השופט בשל ההליך הקודם </w:t>
      </w:r>
      <w:r w:rsidRPr="008F2720">
        <w:rPr>
          <w:rFonts w:ascii="David" w:hAnsi="David" w:hint="cs"/>
          <w:noProof w:val="0"/>
          <w:rtl/>
        </w:rPr>
        <w:t>(</w:t>
      </w:r>
      <w:r w:rsidRPr="008F2720">
        <w:rPr>
          <w:rFonts w:ascii="David" w:hAnsi="David"/>
          <w:noProof w:val="0"/>
          <w:rtl/>
        </w:rPr>
        <w:t>עא 5800/19 ‏ ‏</w:t>
      </w:r>
      <w:r w:rsidRPr="008F2720">
        <w:rPr>
          <w:rFonts w:ascii="David" w:hAnsi="David"/>
          <w:b/>
          <w:bCs/>
          <w:noProof w:val="0"/>
          <w:rtl/>
        </w:rPr>
        <w:t xml:space="preserve"> פלוני נ' פלונית</w:t>
      </w:r>
      <w:r w:rsidRPr="008F2720">
        <w:rPr>
          <w:rFonts w:ascii="David" w:hAnsi="David"/>
          <w:noProof w:val="0"/>
          <w:rtl/>
        </w:rPr>
        <w:t>, ניתן ביום 21.11.2019</w:t>
      </w:r>
      <w:r w:rsidRPr="008F2720">
        <w:rPr>
          <w:rFonts w:ascii="David" w:hAnsi="David" w:hint="cs"/>
          <w:noProof w:val="0"/>
          <w:rtl/>
        </w:rPr>
        <w:t>).</w:t>
      </w:r>
    </w:p>
    <w:p w:rsidR="00B336BA" w:rsidRPr="008F2720" w:rsidRDefault="00B336BA" w:rsidP="00B336BA">
      <w:pPr>
        <w:pStyle w:val="ad"/>
        <w:spacing w:after="160" w:line="360" w:lineRule="auto"/>
        <w:ind w:left="360"/>
        <w:jc w:val="both"/>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sidRPr="008F2720">
        <w:rPr>
          <w:rFonts w:ascii="David" w:hAnsi="David"/>
          <w:noProof w:val="0"/>
          <w:rtl/>
        </w:rPr>
        <w:t xml:space="preserve">כך גם הבעת דעה על ידי בית המשפט בהליך קודם היא כשלעצמה אינה מקימה חשש ממשי למשוא פנים וכי על הטוען לקיומו של חשש כזה להראות כי דעתו של בית המשפט "נעולה" במובן זה שהוא איננו פתוח עוד לשכנוע (ע"א 810/18 </w:t>
      </w:r>
      <w:r w:rsidRPr="008F2720">
        <w:rPr>
          <w:rFonts w:ascii="David" w:hAnsi="David"/>
          <w:b/>
          <w:bCs/>
          <w:noProof w:val="0"/>
          <w:rtl/>
        </w:rPr>
        <w:t>שמעון בלולו נ' מדינת ישראל – היחידה הארצית לשומה</w:t>
      </w:r>
      <w:r w:rsidRPr="008F2720">
        <w:rPr>
          <w:rFonts w:ascii="David" w:hAnsi="David"/>
          <w:noProof w:val="0"/>
          <w:rtl/>
        </w:rPr>
        <w:t xml:space="preserve">  </w:t>
      </w:r>
      <w:r w:rsidRPr="008F2720">
        <w:rPr>
          <w:rFonts w:ascii="David" w:hAnsi="David" w:hint="cs"/>
          <w:noProof w:val="0"/>
          <w:rtl/>
        </w:rPr>
        <w:t xml:space="preserve">ניתן ביום </w:t>
      </w:r>
      <w:r w:rsidRPr="008F2720">
        <w:rPr>
          <w:rFonts w:ascii="David" w:hAnsi="David"/>
          <w:noProof w:val="0"/>
          <w:rtl/>
        </w:rPr>
        <w:t>1.3.2018)</w:t>
      </w:r>
    </w:p>
    <w:p w:rsidR="00B336BA" w:rsidRPr="008F2720" w:rsidRDefault="00B336BA" w:rsidP="00B336BA">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sidRPr="008F2720">
        <w:rPr>
          <w:rFonts w:ascii="David" w:hAnsi="David"/>
          <w:noProof w:val="0"/>
          <w:rtl/>
        </w:rPr>
        <w:t>אכן, קיימים מקרים נדירים שבהם התבטאויות בעלות אופי מובהק ונחרץ מצד בית המשפט יש בהן כדי ללמד על "נעילת" דעתו והן מוליכות אל המסקנה כי קם חשש ממשי למשוא פנים מצדו ( ע"א</w:t>
      </w:r>
      <w:r>
        <w:rPr>
          <w:rFonts w:ascii="David" w:hAnsi="David" w:hint="cs"/>
          <w:noProof w:val="0"/>
          <w:rtl/>
        </w:rPr>
        <w:t xml:space="preserve"> </w:t>
      </w:r>
      <w:r w:rsidRPr="008F2720">
        <w:rPr>
          <w:rFonts w:ascii="David" w:hAnsi="David"/>
          <w:noProof w:val="0"/>
          <w:rtl/>
        </w:rPr>
        <w:t xml:space="preserve">3012/19 </w:t>
      </w:r>
      <w:r w:rsidRPr="008F2720">
        <w:rPr>
          <w:rFonts w:ascii="David" w:hAnsi="David"/>
          <w:b/>
          <w:bCs/>
          <w:noProof w:val="0"/>
          <w:rtl/>
        </w:rPr>
        <w:t>לשצ'ינסקי נ' שאוויט</w:t>
      </w:r>
      <w:r w:rsidRPr="008F2720">
        <w:rPr>
          <w:rFonts w:ascii="David" w:hAnsi="David"/>
          <w:noProof w:val="0"/>
          <w:rtl/>
        </w:rPr>
        <w:t xml:space="preserve">, 18.6.2019), אך </w:t>
      </w:r>
      <w:r w:rsidRPr="008F2720">
        <w:rPr>
          <w:rFonts w:ascii="David" w:hAnsi="David" w:hint="cs"/>
          <w:noProof w:val="0"/>
          <w:rtl/>
        </w:rPr>
        <w:t>לטעמי</w:t>
      </w:r>
      <w:r w:rsidRPr="008F2720">
        <w:rPr>
          <w:rFonts w:ascii="David" w:hAnsi="David"/>
          <w:noProof w:val="0"/>
          <w:rtl/>
        </w:rPr>
        <w:t xml:space="preserve"> המקרה דנן </w:t>
      </w:r>
      <w:r w:rsidRPr="008F2720">
        <w:rPr>
          <w:rFonts w:ascii="David" w:hAnsi="David" w:hint="cs"/>
          <w:noProof w:val="0"/>
          <w:rtl/>
        </w:rPr>
        <w:t xml:space="preserve">אינו </w:t>
      </w:r>
      <w:r w:rsidRPr="008F2720">
        <w:rPr>
          <w:rFonts w:ascii="David" w:hAnsi="David"/>
          <w:noProof w:val="0"/>
          <w:rtl/>
        </w:rPr>
        <w:t>נמנה עם מקרים אלה</w:t>
      </w:r>
      <w:r w:rsidR="007E0D44">
        <w:rPr>
          <w:rFonts w:ascii="David" w:hAnsi="David" w:hint="cs"/>
          <w:noProof w:val="0"/>
          <w:rtl/>
        </w:rPr>
        <w:t xml:space="preserve"> ואף לא קרוב לכך</w:t>
      </w:r>
      <w:r w:rsidRPr="008F2720">
        <w:rPr>
          <w:rFonts w:ascii="David" w:hAnsi="David"/>
          <w:noProof w:val="0"/>
          <w:rtl/>
        </w:rPr>
        <w:t>.</w:t>
      </w:r>
    </w:p>
    <w:p w:rsidR="00B336BA" w:rsidRPr="00400763" w:rsidRDefault="00B336BA" w:rsidP="00B336BA">
      <w:pPr>
        <w:pStyle w:val="ad"/>
        <w:rPr>
          <w:rFonts w:ascii="David" w:hAnsi="David"/>
          <w:noProof w:val="0"/>
          <w:rtl/>
        </w:rPr>
      </w:pPr>
    </w:p>
    <w:p w:rsidR="00E05EB9" w:rsidRDefault="00B336BA" w:rsidP="007E0D44">
      <w:pPr>
        <w:pStyle w:val="ad"/>
        <w:numPr>
          <w:ilvl w:val="0"/>
          <w:numId w:val="1"/>
        </w:numPr>
        <w:spacing w:after="160" w:line="360" w:lineRule="auto"/>
        <w:jc w:val="both"/>
        <w:rPr>
          <w:rFonts w:ascii="David" w:hAnsi="David"/>
          <w:noProof w:val="0"/>
        </w:rPr>
      </w:pPr>
      <w:r w:rsidRPr="00985D05">
        <w:rPr>
          <w:rFonts w:ascii="David" w:hAnsi="David" w:hint="cs"/>
          <w:noProof w:val="0"/>
          <w:rtl/>
        </w:rPr>
        <w:t>המבקש מפנה בסעיף</w:t>
      </w:r>
      <w:r>
        <w:rPr>
          <w:rFonts w:ascii="David" w:hAnsi="David" w:hint="cs"/>
          <w:noProof w:val="0"/>
          <w:rtl/>
        </w:rPr>
        <w:t xml:space="preserve"> 25 בבקשתו לפסיקה באשר לתנאים הנדרשים לקיום עילה לחשש ממשי והעדפת צד אחד וגיבוש דעה מראש אשר בהם דעתו של המותב "ננעלה" עוד טרם נשמע דיון בפניו ומתקיימת עילה לפסילתו. </w:t>
      </w:r>
    </w:p>
    <w:p w:rsidR="00E05EB9" w:rsidRPr="00E05EB9" w:rsidRDefault="00E05EB9" w:rsidP="00E05EB9">
      <w:pPr>
        <w:pStyle w:val="ad"/>
        <w:rPr>
          <w:rFonts w:ascii="David" w:hAnsi="David"/>
          <w:noProof w:val="0"/>
          <w:rtl/>
        </w:rPr>
      </w:pPr>
    </w:p>
    <w:p w:rsidR="00E05EB9" w:rsidRPr="00E05EB9" w:rsidRDefault="00B336BA" w:rsidP="007E0D44">
      <w:pPr>
        <w:pStyle w:val="ad"/>
        <w:numPr>
          <w:ilvl w:val="0"/>
          <w:numId w:val="1"/>
        </w:numPr>
        <w:spacing w:after="160" w:line="360" w:lineRule="auto"/>
        <w:jc w:val="both"/>
        <w:rPr>
          <w:rFonts w:ascii="David" w:hAnsi="David"/>
          <w:b/>
          <w:bCs/>
          <w:noProof w:val="0"/>
          <w:sz w:val="22"/>
          <w:szCs w:val="22"/>
        </w:rPr>
      </w:pPr>
      <w:r>
        <w:rPr>
          <w:rFonts w:ascii="David" w:hAnsi="David" w:hint="cs"/>
          <w:noProof w:val="0"/>
          <w:rtl/>
        </w:rPr>
        <w:t xml:space="preserve">בהמשך להפניות התובע עצמו מצאתי להפנות לפסק הדין, בע"א 7858/06 </w:t>
      </w:r>
      <w:r w:rsidRPr="00400763">
        <w:rPr>
          <w:rFonts w:ascii="David" w:hAnsi="David" w:hint="cs"/>
          <w:b/>
          <w:bCs/>
          <w:noProof w:val="0"/>
          <w:u w:val="single"/>
          <w:rtl/>
        </w:rPr>
        <w:t>ולדהורן</w:t>
      </w:r>
      <w:r>
        <w:rPr>
          <w:rFonts w:ascii="David" w:hAnsi="David" w:hint="cs"/>
          <w:noProof w:val="0"/>
          <w:rtl/>
        </w:rPr>
        <w:t xml:space="preserve"> נ' </w:t>
      </w:r>
      <w:r w:rsidRPr="00400763">
        <w:rPr>
          <w:rFonts w:ascii="David" w:hAnsi="David" w:hint="cs"/>
          <w:b/>
          <w:bCs/>
          <w:noProof w:val="0"/>
          <w:u w:val="single"/>
          <w:rtl/>
        </w:rPr>
        <w:t>נרקיס</w:t>
      </w:r>
      <w:r>
        <w:rPr>
          <w:rFonts w:ascii="David" w:hAnsi="David" w:hint="cs"/>
          <w:b/>
          <w:bCs/>
          <w:noProof w:val="0"/>
          <w:u w:val="single"/>
          <w:rtl/>
        </w:rPr>
        <w:t xml:space="preserve"> </w:t>
      </w:r>
      <w:r>
        <w:rPr>
          <w:rFonts w:ascii="David" w:hAnsi="David" w:hint="cs"/>
          <w:noProof w:val="0"/>
          <w:rtl/>
        </w:rPr>
        <w:t>ניתן ביום 31.7.07 ופורסם בנבו, לפיו</w:t>
      </w:r>
      <w:r w:rsidR="00E05EB9">
        <w:rPr>
          <w:rFonts w:ascii="David" w:hAnsi="David" w:hint="cs"/>
          <w:noProof w:val="0"/>
          <w:rtl/>
        </w:rPr>
        <w:t>:</w:t>
      </w:r>
      <w:r>
        <w:rPr>
          <w:rFonts w:ascii="David" w:hAnsi="David" w:hint="cs"/>
          <w:noProof w:val="0"/>
          <w:rtl/>
        </w:rPr>
        <w:t xml:space="preserve"> </w:t>
      </w:r>
    </w:p>
    <w:p w:rsidR="00E05EB9" w:rsidRPr="00E05EB9" w:rsidRDefault="00E05EB9" w:rsidP="00E05EB9">
      <w:pPr>
        <w:pStyle w:val="ad"/>
        <w:rPr>
          <w:rFonts w:ascii="David" w:hAnsi="David"/>
          <w:b/>
          <w:bCs/>
          <w:noProof w:val="0"/>
          <w:sz w:val="22"/>
          <w:szCs w:val="22"/>
          <w:rtl/>
        </w:rPr>
      </w:pPr>
    </w:p>
    <w:p w:rsidR="00B336BA" w:rsidRPr="00E05EB9" w:rsidRDefault="00B336BA" w:rsidP="00E05EB9">
      <w:pPr>
        <w:pStyle w:val="ad"/>
        <w:spacing w:after="160" w:line="360" w:lineRule="auto"/>
        <w:jc w:val="both"/>
        <w:rPr>
          <w:rFonts w:ascii="David" w:hAnsi="David"/>
          <w:b/>
          <w:bCs/>
          <w:noProof w:val="0"/>
          <w:sz w:val="22"/>
          <w:szCs w:val="22"/>
        </w:rPr>
      </w:pPr>
      <w:r w:rsidRPr="00E05EB9">
        <w:rPr>
          <w:rFonts w:ascii="David" w:hAnsi="David" w:hint="cs"/>
          <w:b/>
          <w:bCs/>
          <w:noProof w:val="0"/>
          <w:sz w:val="22"/>
          <w:szCs w:val="22"/>
          <w:rtl/>
        </w:rPr>
        <w:t>"לא פעם מביע שופט דעה באשר לסיכויי ההליך שבפניו. אם דעה זו היא "לכאורית" בלבד, תוך שהשופט פתוח לאימוצה של דעה שונה, אין בעצם הבעת הדעה כדי לפסול את השופט מלשבת בדין. לא די בכך שלשופט יש דעה בעניין נשוא המשפט. לשם פסילת שופט צריך להראות שיש לו דעה קדומה וצריך להראות כי אין כל סיכוי שדעתו זו תשתנה במהלך המשפט".</w:t>
      </w:r>
    </w:p>
    <w:p w:rsidR="00B336BA" w:rsidRPr="008F2720" w:rsidRDefault="00B336BA" w:rsidP="00B336BA">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sidRPr="008F2720">
        <w:rPr>
          <w:rFonts w:ascii="David" w:hAnsi="David"/>
          <w:noProof w:val="0"/>
          <w:rtl/>
        </w:rPr>
        <w:t xml:space="preserve">במקרה דנן, אין כל בסיס לטענה כי דעתו שלבית המשפט </w:t>
      </w:r>
      <w:r w:rsidR="00E05EB9">
        <w:rPr>
          <w:rFonts w:ascii="David" w:hAnsi="David" w:hint="cs"/>
          <w:noProof w:val="0"/>
          <w:rtl/>
        </w:rPr>
        <w:t xml:space="preserve">ננעלה או </w:t>
      </w:r>
      <w:r w:rsidRPr="008F2720">
        <w:rPr>
          <w:rFonts w:ascii="David" w:hAnsi="David"/>
          <w:noProof w:val="0"/>
          <w:rtl/>
        </w:rPr>
        <w:t>נעולה</w:t>
      </w:r>
      <w:r>
        <w:rPr>
          <w:rFonts w:ascii="David" w:hAnsi="David" w:hint="cs"/>
          <w:noProof w:val="0"/>
          <w:rtl/>
        </w:rPr>
        <w:t xml:space="preserve"> לעניין הליך זה</w:t>
      </w:r>
      <w:r w:rsidRPr="008F2720">
        <w:rPr>
          <w:rFonts w:ascii="David" w:hAnsi="David"/>
          <w:noProof w:val="0"/>
          <w:rtl/>
        </w:rPr>
        <w:t>. דבר</w:t>
      </w:r>
      <w:r>
        <w:rPr>
          <w:rFonts w:ascii="David" w:hAnsi="David" w:hint="cs"/>
          <w:noProof w:val="0"/>
          <w:rtl/>
        </w:rPr>
        <w:t>י</w:t>
      </w:r>
      <w:r w:rsidRPr="008F2720">
        <w:rPr>
          <w:rFonts w:ascii="David" w:hAnsi="David"/>
          <w:noProof w:val="0"/>
          <w:rtl/>
        </w:rPr>
        <w:t xml:space="preserve">י בהחלטתי מיום </w:t>
      </w:r>
      <w:r>
        <w:rPr>
          <w:rFonts w:ascii="David" w:hAnsi="David" w:hint="cs"/>
          <w:noProof w:val="0"/>
          <w:rtl/>
        </w:rPr>
        <w:t>27.5.24</w:t>
      </w:r>
      <w:r w:rsidRPr="008F2720">
        <w:rPr>
          <w:rFonts w:ascii="David" w:hAnsi="David"/>
          <w:noProof w:val="0"/>
          <w:rtl/>
        </w:rPr>
        <w:t xml:space="preserve"> נאמרו בהקשר להתנהלותו של המבקש בהלי</w:t>
      </w:r>
      <w:r>
        <w:rPr>
          <w:rFonts w:ascii="David" w:hAnsi="David" w:hint="cs"/>
          <w:noProof w:val="0"/>
          <w:rtl/>
        </w:rPr>
        <w:t>כים</w:t>
      </w:r>
      <w:r w:rsidRPr="008F2720">
        <w:rPr>
          <w:rFonts w:ascii="David" w:hAnsi="David"/>
          <w:noProof w:val="0"/>
          <w:rtl/>
        </w:rPr>
        <w:t xml:space="preserve"> </w:t>
      </w:r>
      <w:r>
        <w:rPr>
          <w:rFonts w:ascii="David" w:hAnsi="David" w:hint="cs"/>
          <w:noProof w:val="0"/>
          <w:rtl/>
        </w:rPr>
        <w:t>קודמים שעניינם חידוש קשר, בהחלטות קודמות לא נחסמה דרכו של התובע להגשת תביעות אלא נקבע כי לנוכח הנסיבות בהן מצויה המשפחה, הליך הי"ס אינו המסגרת המתאימה (שם הגיש 3 בקשות ליישוב סכסוך במשך 3 שנים)</w:t>
      </w:r>
      <w:r w:rsidRPr="008F2720">
        <w:rPr>
          <w:rFonts w:ascii="David" w:hAnsi="David"/>
          <w:noProof w:val="0"/>
          <w:rtl/>
        </w:rPr>
        <w:t>.</w:t>
      </w:r>
      <w:r>
        <w:rPr>
          <w:rFonts w:ascii="David" w:hAnsi="David" w:hint="cs"/>
          <w:noProof w:val="0"/>
          <w:rtl/>
        </w:rPr>
        <w:t xml:space="preserve"> החלטה זו אף ציינה כי ככל שהסעד המבוקש על ידי המבקש הוא חידוש הקשר עם הבנות עליו לבחון האם הליכים אלה משרתים את טובת הקטינות או את חידוש הקשר עימם.</w:t>
      </w:r>
    </w:p>
    <w:p w:rsidR="00B336BA" w:rsidRPr="008F2720" w:rsidRDefault="00B336BA" w:rsidP="00B336BA">
      <w:pPr>
        <w:pStyle w:val="ad"/>
        <w:rPr>
          <w:rFonts w:ascii="David" w:hAnsi="David"/>
          <w:noProof w:val="0"/>
          <w:rtl/>
        </w:rPr>
      </w:pPr>
    </w:p>
    <w:p w:rsidR="00B336BA" w:rsidRPr="00DE0F60" w:rsidRDefault="00B336BA" w:rsidP="00B336BA">
      <w:pPr>
        <w:pStyle w:val="ad"/>
        <w:numPr>
          <w:ilvl w:val="0"/>
          <w:numId w:val="1"/>
        </w:numPr>
        <w:spacing w:after="160" w:line="360" w:lineRule="auto"/>
        <w:jc w:val="both"/>
        <w:rPr>
          <w:rFonts w:ascii="David" w:hAnsi="David"/>
          <w:b/>
          <w:bCs/>
          <w:noProof w:val="0"/>
        </w:rPr>
      </w:pPr>
      <w:r w:rsidRPr="008F2720">
        <w:rPr>
          <w:rFonts w:ascii="David" w:hAnsi="David"/>
          <w:noProof w:val="0"/>
          <w:rtl/>
        </w:rPr>
        <w:t xml:space="preserve">החלטת בית המשפט </w:t>
      </w:r>
      <w:r>
        <w:rPr>
          <w:rFonts w:ascii="David" w:hAnsi="David" w:hint="cs"/>
          <w:noProof w:val="0"/>
          <w:rtl/>
        </w:rPr>
        <w:t>בתיק י"ס 11339-09-23 ש</w:t>
      </w:r>
      <w:r w:rsidRPr="008F2720">
        <w:rPr>
          <w:rFonts w:ascii="David" w:hAnsi="David"/>
          <w:noProof w:val="0"/>
          <w:rtl/>
        </w:rPr>
        <w:t xml:space="preserve">ניתנה ביום </w:t>
      </w:r>
      <w:r>
        <w:rPr>
          <w:rFonts w:ascii="David" w:hAnsi="David" w:hint="cs"/>
          <w:noProof w:val="0"/>
          <w:rtl/>
        </w:rPr>
        <w:t>26.2.24</w:t>
      </w:r>
      <w:r w:rsidRPr="008F2720">
        <w:rPr>
          <w:rFonts w:ascii="David" w:hAnsi="David"/>
          <w:noProof w:val="0"/>
          <w:rtl/>
        </w:rPr>
        <w:t xml:space="preserve"> </w:t>
      </w:r>
      <w:r>
        <w:rPr>
          <w:rFonts w:ascii="David" w:hAnsi="David" w:hint="cs"/>
          <w:noProof w:val="0"/>
          <w:rtl/>
        </w:rPr>
        <w:t xml:space="preserve">התייחסה להתנהלותו של התובע בהליך הקודם </w:t>
      </w:r>
      <w:r w:rsidRPr="00DE0F60">
        <w:rPr>
          <w:rFonts w:ascii="David" w:hAnsi="David" w:hint="cs"/>
          <w:b/>
          <w:bCs/>
          <w:noProof w:val="0"/>
          <w:rtl/>
        </w:rPr>
        <w:t>ו</w:t>
      </w:r>
      <w:r w:rsidRPr="00DE0F60">
        <w:rPr>
          <w:rFonts w:ascii="David" w:hAnsi="David"/>
          <w:b/>
          <w:bCs/>
          <w:noProof w:val="0"/>
          <w:rtl/>
        </w:rPr>
        <w:t xml:space="preserve">לכל היותר יש בדברים כדי להביע עמדה ראשונית לכאורית לאותה נקודת זמן, בהתחשב בחומר שעמד </w:t>
      </w:r>
      <w:r w:rsidRPr="00DE0F60">
        <w:rPr>
          <w:rFonts w:ascii="David" w:hAnsi="David" w:hint="cs"/>
          <w:b/>
          <w:bCs/>
          <w:noProof w:val="0"/>
          <w:rtl/>
        </w:rPr>
        <w:t xml:space="preserve">אז </w:t>
      </w:r>
      <w:r w:rsidRPr="00DE0F60">
        <w:rPr>
          <w:rFonts w:ascii="David" w:hAnsi="David"/>
          <w:b/>
          <w:bCs/>
          <w:noProof w:val="0"/>
          <w:rtl/>
        </w:rPr>
        <w:t>בפני</w:t>
      </w:r>
      <w:r w:rsidRPr="00DE0F60">
        <w:rPr>
          <w:rFonts w:ascii="David" w:hAnsi="David" w:hint="cs"/>
          <w:b/>
          <w:bCs/>
          <w:noProof w:val="0"/>
          <w:rtl/>
        </w:rPr>
        <w:t xml:space="preserve"> בית המשפט</w:t>
      </w:r>
      <w:r w:rsidRPr="00DE0F60">
        <w:rPr>
          <w:rFonts w:ascii="David" w:hAnsi="David"/>
          <w:b/>
          <w:bCs/>
          <w:noProof w:val="0"/>
          <w:rtl/>
        </w:rPr>
        <w:t xml:space="preserve">. </w:t>
      </w:r>
    </w:p>
    <w:p w:rsidR="00B336BA" w:rsidRPr="00826D38" w:rsidRDefault="00B336BA" w:rsidP="00B336BA">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 xml:space="preserve">החלטה מיום 27.5.24 הינה לעניין ערעור המבקש על החלטת רשמת ההוצל"פ, בהתבסס על פרשנותה של הרשמת את הוראות סעיף 6 להסכם הגירושין שנחתם בין הצדדים ואושר בשתי ערכאות. מצאתי כי החלטת הרשמת המנומקת הייתה נכונה, תאמה ללשון פסק הדין ולא התקיימה כל עילה לקבלת הערעור. ההחלטה התייחסה נקודתית לעניין החזר ההוצאות רפואיות ואין בהחלטה זו בכדי להשפיע על ההכרעה בתביעה להפחתת המזונות אשר לצורך קביעתה נשקלים מסמכים וראיות שונים לחלוטין. ההליכים הקודמים שהתנהלו בפניי אינם זהים לתביעה זו. </w:t>
      </w:r>
    </w:p>
    <w:p w:rsidR="00B336BA" w:rsidRPr="008F2720" w:rsidRDefault="00B336BA" w:rsidP="00B336BA">
      <w:pPr>
        <w:pStyle w:val="ad"/>
        <w:spacing w:after="160" w:line="360" w:lineRule="auto"/>
        <w:ind w:left="360"/>
        <w:jc w:val="both"/>
        <w:rPr>
          <w:rFonts w:ascii="David" w:hAnsi="David"/>
          <w:noProof w:val="0"/>
          <w:rtl/>
        </w:rPr>
      </w:pPr>
    </w:p>
    <w:p w:rsidR="00B336BA" w:rsidRDefault="00B336BA" w:rsidP="00E05EB9">
      <w:pPr>
        <w:pStyle w:val="ad"/>
        <w:numPr>
          <w:ilvl w:val="0"/>
          <w:numId w:val="1"/>
        </w:numPr>
        <w:spacing w:after="160" w:line="360" w:lineRule="auto"/>
        <w:jc w:val="both"/>
        <w:rPr>
          <w:rFonts w:ascii="David" w:hAnsi="David"/>
          <w:noProof w:val="0"/>
        </w:rPr>
      </w:pPr>
      <w:r>
        <w:rPr>
          <w:rFonts w:ascii="David" w:hAnsi="David" w:hint="cs"/>
          <w:noProof w:val="0"/>
          <w:rtl/>
        </w:rPr>
        <w:t>בהתאם לפסיקה ניהול  הליך קודם אינו  די להקמת  עילה לפסילת שופט</w:t>
      </w:r>
      <w:r w:rsidR="00E05EB9">
        <w:rPr>
          <w:rFonts w:ascii="David" w:hAnsi="David" w:hint="cs"/>
          <w:noProof w:val="0"/>
          <w:rtl/>
        </w:rPr>
        <w:t>.</w:t>
      </w:r>
      <w:r>
        <w:rPr>
          <w:rFonts w:ascii="David" w:hAnsi="David" w:hint="cs"/>
          <w:noProof w:val="0"/>
          <w:rtl/>
        </w:rPr>
        <w:t xml:space="preserve"> על מנת להוכיח כי קיים חשש ממשי למשוא פנים נדרש להוכיח כי האמירה של המותב מעידה באופן מוחלט כי השופט גיבש עמדה סופית </w:t>
      </w:r>
      <w:r w:rsidRPr="00E05EB9">
        <w:rPr>
          <w:rFonts w:ascii="David" w:hAnsi="David" w:hint="cs"/>
          <w:noProof w:val="0"/>
          <w:u w:val="single"/>
          <w:rtl/>
        </w:rPr>
        <w:t>בעניין נושא הדיון השיפוטי</w:t>
      </w:r>
      <w:r>
        <w:rPr>
          <w:rFonts w:ascii="David" w:hAnsi="David" w:hint="cs"/>
          <w:noProof w:val="0"/>
          <w:rtl/>
        </w:rPr>
        <w:t xml:space="preserve">. אכן בהליכי יישוב הסכסוך המלצתי לנוכח הנסיבות החריגות ומצבה הרפואי של </w:t>
      </w:r>
      <w:r w:rsidR="00FE1874">
        <w:rPr>
          <w:rFonts w:ascii="David" w:hAnsi="David" w:hint="cs"/>
          <w:noProof w:val="0"/>
        </w:rPr>
        <w:t>XX</w:t>
      </w:r>
      <w:r>
        <w:rPr>
          <w:rFonts w:ascii="David" w:hAnsi="David" w:hint="cs"/>
          <w:noProof w:val="0"/>
          <w:rtl/>
        </w:rPr>
        <w:t xml:space="preserve"> </w:t>
      </w:r>
      <w:r w:rsidRPr="00E05EB9">
        <w:rPr>
          <w:rFonts w:ascii="David" w:hAnsi="David" w:hint="cs"/>
          <w:b/>
          <w:bCs/>
          <w:noProof w:val="0"/>
          <w:u w:val="single"/>
          <w:rtl/>
        </w:rPr>
        <w:t>לשני הצדדים יחדיו</w:t>
      </w:r>
      <w:r w:rsidRPr="00985D05">
        <w:rPr>
          <w:rFonts w:ascii="David" w:hAnsi="David" w:hint="cs"/>
          <w:b/>
          <w:bCs/>
          <w:noProof w:val="0"/>
          <w:rtl/>
        </w:rPr>
        <w:t xml:space="preserve"> לגלות אחריות הורית</w:t>
      </w:r>
      <w:r>
        <w:rPr>
          <w:rFonts w:ascii="David" w:hAnsi="David" w:hint="cs"/>
          <w:noProof w:val="0"/>
          <w:rtl/>
        </w:rPr>
        <w:t xml:space="preserve"> ולפעול במשותף לטובת הבנות ופרט להתמקד בהחלמתה של </w:t>
      </w:r>
      <w:r w:rsidR="00FE1874">
        <w:rPr>
          <w:rFonts w:ascii="David" w:hAnsi="David" w:hint="cs"/>
          <w:noProof w:val="0"/>
        </w:rPr>
        <w:t>XX</w:t>
      </w:r>
      <w:r>
        <w:rPr>
          <w:rFonts w:ascii="David" w:hAnsi="David" w:hint="cs"/>
          <w:noProof w:val="0"/>
          <w:rtl/>
        </w:rPr>
        <w:t>. אין באמירה זו משום כל קביעה המעידה על גיבוש דעה סופי  לגבי התביעה להפחתת המזונות או כל תביעה אחרת.</w:t>
      </w:r>
    </w:p>
    <w:p w:rsidR="00B336BA" w:rsidRPr="00985D05" w:rsidRDefault="00B336BA" w:rsidP="00B336BA">
      <w:pPr>
        <w:pStyle w:val="ad"/>
        <w:rPr>
          <w:rFonts w:ascii="David" w:hAnsi="David"/>
          <w:noProof w:val="0"/>
          <w:rtl/>
        </w:rPr>
      </w:pPr>
    </w:p>
    <w:p w:rsidR="00B336BA" w:rsidRDefault="00B336BA" w:rsidP="00B336BA">
      <w:pPr>
        <w:pStyle w:val="ad"/>
        <w:numPr>
          <w:ilvl w:val="0"/>
          <w:numId w:val="1"/>
        </w:numPr>
        <w:spacing w:after="160" w:line="360" w:lineRule="auto"/>
        <w:jc w:val="both"/>
        <w:rPr>
          <w:rFonts w:ascii="David" w:hAnsi="David"/>
          <w:noProof w:val="0"/>
        </w:rPr>
      </w:pPr>
      <w:r w:rsidRPr="00985D05">
        <w:rPr>
          <w:rFonts w:ascii="David" w:hAnsi="David" w:hint="cs"/>
          <w:noProof w:val="0"/>
          <w:rtl/>
        </w:rPr>
        <w:t xml:space="preserve">כך גם לעניין טענות המבקש בקשר להעדפת הנתבעת באופן מוחלט וחד צדדי, </w:t>
      </w:r>
      <w:r w:rsidRPr="00985D05">
        <w:rPr>
          <w:rFonts w:ascii="David" w:hAnsi="David"/>
          <w:noProof w:val="0"/>
          <w:rtl/>
        </w:rPr>
        <w:t xml:space="preserve"> </w:t>
      </w:r>
      <w:r w:rsidRPr="00985D05">
        <w:rPr>
          <w:rFonts w:ascii="David" w:hAnsi="David" w:hint="cs"/>
          <w:noProof w:val="0"/>
          <w:rtl/>
        </w:rPr>
        <w:t>לא מצאתי לקב</w:t>
      </w:r>
      <w:r w:rsidR="00E05EB9">
        <w:rPr>
          <w:rFonts w:ascii="David" w:hAnsi="David" w:hint="cs"/>
          <w:noProof w:val="0"/>
          <w:rtl/>
        </w:rPr>
        <w:t xml:space="preserve">ל טענה והיא נדחית. </w:t>
      </w:r>
      <w:r w:rsidRPr="00985D05">
        <w:rPr>
          <w:rFonts w:ascii="David" w:hAnsi="David" w:hint="cs"/>
          <w:noProof w:val="0"/>
          <w:rtl/>
        </w:rPr>
        <w:t>זו לא אחת נדחתה עמדת הנתבעת ונתקבלה בקשת התובע (ראה סעיף 31 לתגובת המשיבה). בשים לב כי בהחלטותיו</w:t>
      </w:r>
      <w:r w:rsidR="00E05EB9">
        <w:rPr>
          <w:rFonts w:ascii="David" w:hAnsi="David" w:hint="cs"/>
          <w:noProof w:val="0"/>
          <w:rtl/>
        </w:rPr>
        <w:t>,</w:t>
      </w:r>
      <w:r w:rsidRPr="00985D05">
        <w:rPr>
          <w:rFonts w:ascii="David" w:hAnsi="David" w:hint="cs"/>
          <w:noProof w:val="0"/>
          <w:rtl/>
        </w:rPr>
        <w:t xml:space="preserve"> בית המשפט שם את טובת הקטינות לנגד עיניו</w:t>
      </w:r>
      <w:r w:rsidR="00E05EB9">
        <w:rPr>
          <w:rFonts w:ascii="David" w:hAnsi="David" w:hint="cs"/>
          <w:noProof w:val="0"/>
          <w:rtl/>
        </w:rPr>
        <w:t>,</w:t>
      </w:r>
      <w:r w:rsidRPr="00985D05">
        <w:rPr>
          <w:rFonts w:ascii="David" w:hAnsi="David" w:hint="cs"/>
          <w:noProof w:val="0"/>
          <w:rtl/>
        </w:rPr>
        <w:t xml:space="preserve"> ומאחר ובשנים האחרונות</w:t>
      </w:r>
      <w:r w:rsidR="00E05EB9">
        <w:rPr>
          <w:rFonts w:ascii="David" w:hAnsi="David" w:hint="cs"/>
          <w:noProof w:val="0"/>
          <w:rtl/>
        </w:rPr>
        <w:t>, כדבר שבעובדה -</w:t>
      </w:r>
      <w:r w:rsidRPr="00985D05">
        <w:rPr>
          <w:rFonts w:ascii="David" w:hAnsi="David" w:hint="cs"/>
          <w:noProof w:val="0"/>
          <w:rtl/>
        </w:rPr>
        <w:t xml:space="preserve"> הנתבעת היא המטפלת היחידה בבנות, ייתכן כי התובע </w:t>
      </w:r>
      <w:r>
        <w:rPr>
          <w:rFonts w:ascii="David" w:hAnsi="David" w:hint="cs"/>
          <w:noProof w:val="0"/>
          <w:rtl/>
        </w:rPr>
        <w:t>פירש</w:t>
      </w:r>
      <w:r w:rsidRPr="00985D05">
        <w:rPr>
          <w:rFonts w:ascii="David" w:hAnsi="David" w:hint="cs"/>
          <w:noProof w:val="0"/>
          <w:rtl/>
        </w:rPr>
        <w:t xml:space="preserve"> בשוגג את ההחלטות בית המשפט כאילו נתנו לטובת הנתבעת ולא לטובת הקטינות. </w:t>
      </w:r>
      <w:r>
        <w:rPr>
          <w:rFonts w:ascii="David" w:hAnsi="David" w:hint="cs"/>
          <w:noProof w:val="0"/>
          <w:rtl/>
        </w:rPr>
        <w:t>אך לא כך הדברים.</w:t>
      </w:r>
    </w:p>
    <w:p w:rsidR="004E539F" w:rsidRPr="004E539F" w:rsidRDefault="004E539F" w:rsidP="004E539F">
      <w:pPr>
        <w:pStyle w:val="ad"/>
        <w:rPr>
          <w:rFonts w:ascii="David" w:hAnsi="David"/>
          <w:noProof w:val="0"/>
          <w:rtl/>
        </w:rPr>
      </w:pPr>
    </w:p>
    <w:p w:rsidR="00B336BA" w:rsidRDefault="004E539F" w:rsidP="00635B6E">
      <w:pPr>
        <w:pStyle w:val="ad"/>
        <w:numPr>
          <w:ilvl w:val="0"/>
          <w:numId w:val="1"/>
        </w:numPr>
        <w:spacing w:after="160" w:line="360" w:lineRule="auto"/>
        <w:jc w:val="both"/>
        <w:rPr>
          <w:rFonts w:ascii="David" w:hAnsi="David"/>
          <w:noProof w:val="0"/>
        </w:rPr>
      </w:pPr>
      <w:r w:rsidRPr="00F72C72">
        <w:rPr>
          <w:rFonts w:ascii="David" w:hAnsi="David" w:hint="cs"/>
          <w:noProof w:val="0"/>
          <w:rtl/>
        </w:rPr>
        <w:t>יתירה מכך, עוד במסגרת הליכי הי"ס אשר נפתחו על ידי המבקש מצאתי להורות</w:t>
      </w:r>
      <w:r w:rsidR="00635B6E">
        <w:rPr>
          <w:rFonts w:ascii="David" w:hAnsi="David" w:hint="cs"/>
          <w:noProof w:val="0"/>
          <w:rtl/>
        </w:rPr>
        <w:t xml:space="preserve">, באופן חריג לנהוג בהליכי י"ס, </w:t>
      </w:r>
      <w:r w:rsidRPr="00F72C72">
        <w:rPr>
          <w:rFonts w:ascii="David" w:hAnsi="David" w:hint="cs"/>
          <w:noProof w:val="0"/>
          <w:rtl/>
        </w:rPr>
        <w:t xml:space="preserve">על מינוי עו"ס לסדרי דין, מיניתי אפוט' לדין ובהחלטתי מיום 10.9.2020 אף הפניתי את הצדדים לתיאום הורי והוריתי להם, </w:t>
      </w:r>
      <w:r w:rsidR="00635B6E">
        <w:rPr>
          <w:rFonts w:ascii="David" w:hAnsi="David" w:hint="cs"/>
          <w:noProof w:val="0"/>
          <w:rtl/>
        </w:rPr>
        <w:t xml:space="preserve">רק </w:t>
      </w:r>
      <w:r w:rsidRPr="00F72C72">
        <w:rPr>
          <w:rFonts w:ascii="David" w:hAnsi="David" w:hint="cs"/>
          <w:noProof w:val="0"/>
          <w:rtl/>
        </w:rPr>
        <w:t>ככל שלא יצלח הדבר לפתוח בהליכים עיקריים</w:t>
      </w:r>
      <w:r w:rsidR="00635B6E">
        <w:rPr>
          <w:rFonts w:ascii="David" w:hAnsi="David" w:hint="cs"/>
          <w:noProof w:val="0"/>
          <w:rtl/>
        </w:rPr>
        <w:t xml:space="preserve">. </w:t>
      </w:r>
      <w:r w:rsidR="00F72C72" w:rsidRPr="00F72C72">
        <w:rPr>
          <w:rFonts w:ascii="David" w:hAnsi="David" w:hint="cs"/>
          <w:noProof w:val="0"/>
          <w:rtl/>
        </w:rPr>
        <w:t>בהמשך, לבקשת האב (המבקש) אף הארכתי את תקופת עיכוב ההליכים על מנת שניתן יהיה להמשיך ולסייע לצדדים עוד טרם פתיחת הליך עיקרי</w:t>
      </w:r>
      <w:r w:rsidRPr="00F72C72">
        <w:rPr>
          <w:rFonts w:ascii="David" w:hAnsi="David" w:hint="cs"/>
          <w:noProof w:val="0"/>
          <w:rtl/>
        </w:rPr>
        <w:t>. מכך עולה שבית המשפט עשה מעל ומעבר לנסות ולסייע דווקא למבקש בחידוש הקשר עם בנותיו.</w:t>
      </w:r>
      <w:r w:rsidR="00F72C72" w:rsidRPr="00F72C72">
        <w:rPr>
          <w:rFonts w:ascii="David" w:hAnsi="David" w:hint="cs"/>
          <w:noProof w:val="0"/>
          <w:rtl/>
        </w:rPr>
        <w:t xml:space="preserve"> כך גם, וחרף בקשות האם, בהחלטתי מיום 26.2.24 לא מצאתי להטיל על האב (המבקש בבקשה דכאן) הוצאות על אף שהתרשמתי </w:t>
      </w:r>
      <w:r w:rsidR="00635B6E">
        <w:rPr>
          <w:rFonts w:ascii="David" w:hAnsi="David" w:hint="cs"/>
          <w:noProof w:val="0"/>
          <w:rtl/>
        </w:rPr>
        <w:t>שמוטב היה לולא נפתח ההליך על ידו, כמפורט בהחלטתי שם.</w:t>
      </w:r>
    </w:p>
    <w:p w:rsidR="00F72C72" w:rsidRPr="00F72C72" w:rsidRDefault="00F72C72" w:rsidP="00F72C72">
      <w:pPr>
        <w:pStyle w:val="ad"/>
        <w:rPr>
          <w:rFonts w:ascii="David" w:hAnsi="David"/>
          <w:noProof w:val="0"/>
          <w:rtl/>
        </w:rPr>
      </w:pPr>
    </w:p>
    <w:p w:rsidR="00B336BA" w:rsidRPr="004E4841" w:rsidRDefault="00B336BA" w:rsidP="00B336BA">
      <w:pPr>
        <w:pStyle w:val="ad"/>
        <w:numPr>
          <w:ilvl w:val="0"/>
          <w:numId w:val="1"/>
        </w:numPr>
        <w:spacing w:after="160" w:line="360" w:lineRule="auto"/>
        <w:jc w:val="both"/>
        <w:rPr>
          <w:rFonts w:ascii="David" w:hAnsi="David"/>
          <w:noProof w:val="0"/>
        </w:rPr>
      </w:pPr>
      <w:r>
        <w:rPr>
          <w:rFonts w:ascii="David" w:hAnsi="David" w:hint="cs"/>
          <w:noProof w:val="0"/>
          <w:rtl/>
        </w:rPr>
        <w:t xml:space="preserve">לעניין טענות המבקש באשר להחלטה מיום 14.5.24 בעניין הארכת </w:t>
      </w:r>
      <w:r w:rsidR="00E05EB9">
        <w:rPr>
          <w:rFonts w:ascii="David" w:hAnsi="David" w:hint="cs"/>
          <w:noProof w:val="0"/>
          <w:rtl/>
        </w:rPr>
        <w:t>ה</w:t>
      </w:r>
      <w:r>
        <w:rPr>
          <w:rFonts w:ascii="David" w:hAnsi="David" w:hint="cs"/>
          <w:noProof w:val="0"/>
          <w:rtl/>
        </w:rPr>
        <w:t xml:space="preserve">מועד </w:t>
      </w:r>
      <w:r w:rsidR="00E05EB9">
        <w:rPr>
          <w:rFonts w:ascii="David" w:hAnsi="David" w:hint="cs"/>
          <w:noProof w:val="0"/>
          <w:rtl/>
        </w:rPr>
        <w:t xml:space="preserve">להגשת </w:t>
      </w:r>
      <w:r>
        <w:rPr>
          <w:rFonts w:ascii="David" w:hAnsi="David" w:hint="cs"/>
          <w:noProof w:val="0"/>
          <w:rtl/>
        </w:rPr>
        <w:t xml:space="preserve">כתב הגנה והפקדת ערובה, </w:t>
      </w:r>
      <w:r>
        <w:rPr>
          <w:rFonts w:hint="cs"/>
          <w:b/>
          <w:rtl/>
        </w:rPr>
        <w:t xml:space="preserve">לעניין זה, החלטה זו הינה דיונית </w:t>
      </w:r>
      <w:r w:rsidR="00E05EB9">
        <w:rPr>
          <w:rFonts w:hint="cs"/>
          <w:b/>
          <w:rtl/>
        </w:rPr>
        <w:t xml:space="preserve">לחלוטין במהותה </w:t>
      </w:r>
      <w:r>
        <w:rPr>
          <w:rFonts w:hint="cs"/>
          <w:b/>
          <w:rtl/>
        </w:rPr>
        <w:t>ולפיכך הדרך להשיג עליה על פי סדרי הדין הינה בדרך של ערעור ו</w:t>
      </w:r>
      <w:r w:rsidR="00E05EB9">
        <w:rPr>
          <w:rFonts w:hint="cs"/>
          <w:b/>
          <w:rtl/>
        </w:rPr>
        <w:t>ודאי ש</w:t>
      </w:r>
      <w:r>
        <w:rPr>
          <w:rFonts w:hint="cs"/>
          <w:b/>
          <w:rtl/>
        </w:rPr>
        <w:t>לא בבקשת הפסילה.</w:t>
      </w:r>
    </w:p>
    <w:p w:rsidR="00B336BA" w:rsidRPr="004E4841" w:rsidRDefault="00B336BA" w:rsidP="00B336BA">
      <w:pPr>
        <w:pStyle w:val="ad"/>
        <w:rPr>
          <w:rFonts w:ascii="David" w:hAnsi="David"/>
          <w:noProof w:val="0"/>
          <w:rtl/>
        </w:rPr>
      </w:pPr>
    </w:p>
    <w:p w:rsidR="00B336BA" w:rsidRPr="00826D38" w:rsidRDefault="00B336BA" w:rsidP="00B336BA">
      <w:pPr>
        <w:pStyle w:val="ad"/>
        <w:numPr>
          <w:ilvl w:val="0"/>
          <w:numId w:val="1"/>
        </w:numPr>
        <w:spacing w:after="160" w:line="360" w:lineRule="auto"/>
        <w:jc w:val="both"/>
        <w:rPr>
          <w:rFonts w:ascii="David" w:hAnsi="David"/>
          <w:noProof w:val="0"/>
          <w:rtl/>
        </w:rPr>
      </w:pPr>
      <w:r w:rsidRPr="00826D38">
        <w:rPr>
          <w:rFonts w:ascii="David" w:hAnsi="David"/>
          <w:noProof w:val="0"/>
          <w:rtl/>
        </w:rPr>
        <w:t>דעתו של בית המשפט עשויה להשתנות בהתחשב בעדויות ובראיות שטרם נשמעו.</w:t>
      </w:r>
      <w:r w:rsidRPr="00826D38">
        <w:rPr>
          <w:rFonts w:ascii="David" w:hAnsi="David" w:hint="cs"/>
          <w:noProof w:val="0"/>
          <w:rtl/>
        </w:rPr>
        <w:t xml:space="preserve"> </w:t>
      </w:r>
      <w:r w:rsidRPr="00826D38">
        <w:rPr>
          <w:rFonts w:ascii="David" w:hAnsi="David"/>
          <w:noProof w:val="0"/>
          <w:rtl/>
        </w:rPr>
        <w:t xml:space="preserve">חזקה </w:t>
      </w:r>
      <w:r>
        <w:rPr>
          <w:rFonts w:ascii="David" w:hAnsi="David" w:hint="cs"/>
          <w:noProof w:val="0"/>
          <w:rtl/>
        </w:rPr>
        <w:t>על בית המשפט כי י</w:t>
      </w:r>
      <w:r w:rsidRPr="00826D38">
        <w:rPr>
          <w:rFonts w:ascii="David" w:hAnsi="David"/>
          <w:noProof w:val="0"/>
          <w:rtl/>
        </w:rPr>
        <w:t xml:space="preserve">כריע בתביעה העומדת בפניו בהתאם לדין, לטענות ולראיות שיוצגו </w:t>
      </w:r>
      <w:r>
        <w:rPr>
          <w:rFonts w:ascii="David" w:hAnsi="David" w:hint="cs"/>
          <w:noProof w:val="0"/>
          <w:rtl/>
        </w:rPr>
        <w:t>ל</w:t>
      </w:r>
      <w:r w:rsidRPr="00826D38">
        <w:rPr>
          <w:rFonts w:ascii="David" w:hAnsi="David"/>
          <w:noProof w:val="0"/>
          <w:rtl/>
        </w:rPr>
        <w:t xml:space="preserve">ו. </w:t>
      </w:r>
    </w:p>
    <w:p w:rsidR="00B336BA" w:rsidRPr="00E53EE2" w:rsidRDefault="00B336BA" w:rsidP="00B336BA">
      <w:pPr>
        <w:spacing w:after="160" w:line="360" w:lineRule="auto"/>
        <w:ind w:firstLine="360"/>
        <w:jc w:val="both"/>
        <w:rPr>
          <w:rFonts w:ascii="David" w:hAnsi="David"/>
          <w:noProof w:val="0"/>
          <w:rtl/>
        </w:rPr>
      </w:pPr>
      <w:r w:rsidRPr="00E53EE2">
        <w:rPr>
          <w:rFonts w:ascii="David" w:hAnsi="David"/>
          <w:noProof w:val="0"/>
          <w:rtl/>
        </w:rPr>
        <w:t>לעניין זה נפסק:</w:t>
      </w:r>
    </w:p>
    <w:p w:rsidR="00B336BA" w:rsidRPr="00E05EB9" w:rsidRDefault="00B336BA" w:rsidP="00B336BA">
      <w:pPr>
        <w:overflowPunct w:val="0"/>
        <w:autoSpaceDE w:val="0"/>
        <w:autoSpaceDN w:val="0"/>
        <w:spacing w:line="360" w:lineRule="auto"/>
        <w:ind w:left="720"/>
        <w:jc w:val="both"/>
        <w:rPr>
          <w:rFonts w:ascii="David" w:hAnsi="David"/>
          <w:b/>
          <w:bCs/>
          <w:noProof w:val="0"/>
          <w:spacing w:val="10"/>
          <w:sz w:val="22"/>
          <w:szCs w:val="22"/>
          <w:rtl/>
        </w:rPr>
      </w:pPr>
      <w:r w:rsidRPr="00E05EB9">
        <w:rPr>
          <w:rFonts w:ascii="David" w:hAnsi="David" w:hint="cs"/>
          <w:b/>
          <w:bCs/>
          <w:noProof w:val="0"/>
          <w:spacing w:val="10"/>
          <w:sz w:val="22"/>
          <w:szCs w:val="22"/>
          <w:rtl/>
        </w:rPr>
        <w:t>"</w:t>
      </w:r>
      <w:r w:rsidRPr="00E05EB9">
        <w:rPr>
          <w:rFonts w:ascii="David" w:hAnsi="David"/>
          <w:b/>
          <w:bCs/>
          <w:noProof w:val="0"/>
          <w:spacing w:val="10"/>
          <w:sz w:val="22"/>
          <w:szCs w:val="22"/>
          <w:rtl/>
        </w:rPr>
        <w:t xml:space="preserve">ההליך השיפוטי מחייב הנחות כלשהן בדבר סבירותן של טענות משפטיות. על הנחות אלה לשוב ולהיבחן במהלך הדיון המשפטי עד אשר הן הופכות למסקנות מגובשות היטב. מקצועיותו של בית המשפט היא המאפשרת לו להעמיד את הנחותיו המקדמיות תחת </w:t>
      </w:r>
      <w:r w:rsidRPr="00E05EB9">
        <w:rPr>
          <w:rFonts w:ascii="David" w:hAnsi="David"/>
          <w:b/>
          <w:bCs/>
          <w:noProof w:val="0"/>
          <w:spacing w:val="10"/>
          <w:sz w:val="22"/>
          <w:szCs w:val="22"/>
          <w:rtl/>
        </w:rPr>
        <w:lastRenderedPageBreak/>
        <w:t>הביקורת הראויה. רק בנסיבות בהן ברור כי בית המשפט מנוע מלשנות את הנחותיו המוקדמות, וכי דעתו 'נעולה' יש מקום להורות על פסילתו</w:t>
      </w:r>
      <w:r w:rsidRPr="00E05EB9">
        <w:rPr>
          <w:rFonts w:ascii="David" w:hAnsi="David" w:hint="cs"/>
          <w:b/>
          <w:bCs/>
          <w:noProof w:val="0"/>
          <w:spacing w:val="10"/>
          <w:sz w:val="22"/>
          <w:szCs w:val="22"/>
          <w:rtl/>
        </w:rPr>
        <w:t>"</w:t>
      </w:r>
    </w:p>
    <w:p w:rsidR="00B336BA" w:rsidRPr="00E53EE2" w:rsidRDefault="00B336BA" w:rsidP="00B336BA">
      <w:pPr>
        <w:overflowPunct w:val="0"/>
        <w:autoSpaceDE w:val="0"/>
        <w:autoSpaceDN w:val="0"/>
        <w:spacing w:line="360" w:lineRule="auto"/>
        <w:ind w:left="720"/>
        <w:jc w:val="both"/>
        <w:rPr>
          <w:rFonts w:ascii="David" w:hAnsi="David"/>
          <w:noProof w:val="0"/>
          <w:spacing w:val="10"/>
          <w:sz w:val="22"/>
          <w:szCs w:val="22"/>
          <w:rtl/>
        </w:rPr>
      </w:pPr>
      <w:r w:rsidRPr="00E53EE2">
        <w:rPr>
          <w:rFonts w:ascii="David" w:hAnsi="David"/>
          <w:noProof w:val="0"/>
          <w:spacing w:val="10"/>
          <w:rtl/>
        </w:rPr>
        <w:t xml:space="preserve"> </w:t>
      </w:r>
    </w:p>
    <w:p w:rsidR="00B336BA" w:rsidRPr="00C73911" w:rsidRDefault="00B336BA" w:rsidP="00B336BA">
      <w:pPr>
        <w:overflowPunct w:val="0"/>
        <w:autoSpaceDE w:val="0"/>
        <w:autoSpaceDN w:val="0"/>
        <w:spacing w:line="360" w:lineRule="auto"/>
        <w:ind w:left="720"/>
        <w:jc w:val="both"/>
        <w:rPr>
          <w:rFonts w:ascii="David" w:hAnsi="David"/>
          <w:b/>
          <w:bCs/>
          <w:noProof w:val="0"/>
          <w:spacing w:val="10"/>
          <w:sz w:val="22"/>
          <w:szCs w:val="22"/>
          <w:rtl/>
        </w:rPr>
      </w:pPr>
      <w:r w:rsidRPr="00C73911">
        <w:rPr>
          <w:rFonts w:ascii="David" w:hAnsi="David"/>
          <w:b/>
          <w:bCs/>
          <w:noProof w:val="0"/>
          <w:spacing w:val="10"/>
          <w:sz w:val="22"/>
          <w:szCs w:val="22"/>
          <w:rtl/>
        </w:rPr>
        <w:t xml:space="preserve">(ע"א 9191/00 </w:t>
      </w:r>
      <w:r w:rsidRPr="00C73911">
        <w:rPr>
          <w:rFonts w:ascii="David" w:hAnsi="David" w:hint="cs"/>
          <w:b/>
          <w:bCs/>
          <w:noProof w:val="0"/>
          <w:spacing w:val="10"/>
          <w:sz w:val="22"/>
          <w:szCs w:val="22"/>
          <w:rtl/>
        </w:rPr>
        <w:t xml:space="preserve"> </w:t>
      </w:r>
      <w:r w:rsidRPr="00C73911">
        <w:rPr>
          <w:rFonts w:ascii="David" w:hAnsi="David"/>
          <w:b/>
          <w:bCs/>
          <w:noProof w:val="0"/>
          <w:spacing w:val="10"/>
          <w:sz w:val="22"/>
          <w:szCs w:val="22"/>
          <w:rtl/>
        </w:rPr>
        <w:t>ונטורה תקשורת פרויקט אינטרנט ישראל בע"מ נ' סרטי הים האדום בע"מ</w:t>
      </w:r>
      <w:r w:rsidRPr="00C73911">
        <w:rPr>
          <w:rFonts w:ascii="David" w:hAnsi="David" w:hint="cs"/>
          <w:b/>
          <w:bCs/>
          <w:noProof w:val="0"/>
          <w:spacing w:val="10"/>
          <w:sz w:val="22"/>
          <w:szCs w:val="22"/>
          <w:rtl/>
        </w:rPr>
        <w:t>).</w:t>
      </w:r>
    </w:p>
    <w:p w:rsidR="00B336BA" w:rsidRDefault="00B336BA" w:rsidP="00B336BA">
      <w:pPr>
        <w:overflowPunct w:val="0"/>
        <w:autoSpaceDE w:val="0"/>
        <w:autoSpaceDN w:val="0"/>
        <w:spacing w:line="360" w:lineRule="auto"/>
        <w:ind w:left="720"/>
        <w:jc w:val="both"/>
        <w:rPr>
          <w:rFonts w:ascii="David" w:hAnsi="David"/>
          <w:b/>
          <w:bCs/>
          <w:noProof w:val="0"/>
          <w:spacing w:val="10"/>
          <w:sz w:val="22"/>
          <w:szCs w:val="22"/>
          <w:rtl/>
        </w:rPr>
      </w:pPr>
    </w:p>
    <w:p w:rsidR="00B336BA" w:rsidRDefault="00B336BA" w:rsidP="00B336BA">
      <w:pPr>
        <w:overflowPunct w:val="0"/>
        <w:autoSpaceDE w:val="0"/>
        <w:autoSpaceDN w:val="0"/>
        <w:spacing w:line="360" w:lineRule="auto"/>
        <w:ind w:left="720"/>
        <w:jc w:val="both"/>
        <w:rPr>
          <w:rFonts w:ascii="David" w:hAnsi="David"/>
          <w:b/>
          <w:bCs/>
          <w:noProof w:val="0"/>
          <w:spacing w:val="10"/>
          <w:sz w:val="22"/>
          <w:szCs w:val="22"/>
          <w:rtl/>
        </w:rPr>
      </w:pPr>
    </w:p>
    <w:p w:rsidR="00B336BA" w:rsidRDefault="00B336BA" w:rsidP="00B336BA">
      <w:pPr>
        <w:overflowPunct w:val="0"/>
        <w:autoSpaceDE w:val="0"/>
        <w:autoSpaceDN w:val="0"/>
        <w:spacing w:line="360" w:lineRule="auto"/>
        <w:ind w:left="720"/>
        <w:jc w:val="both"/>
        <w:rPr>
          <w:rFonts w:ascii="David" w:hAnsi="David"/>
          <w:b/>
          <w:bCs/>
          <w:noProof w:val="0"/>
          <w:spacing w:val="10"/>
          <w:sz w:val="22"/>
          <w:szCs w:val="22"/>
          <w:rtl/>
        </w:rPr>
      </w:pPr>
    </w:p>
    <w:p w:rsidR="00B336BA" w:rsidRPr="00DE0F60" w:rsidRDefault="00B336BA" w:rsidP="00B336BA">
      <w:pPr>
        <w:pStyle w:val="ad"/>
        <w:numPr>
          <w:ilvl w:val="0"/>
          <w:numId w:val="1"/>
        </w:numPr>
        <w:autoSpaceDE w:val="0"/>
        <w:autoSpaceDN w:val="0"/>
        <w:adjustRightInd w:val="0"/>
        <w:spacing w:before="240" w:after="100" w:line="360" w:lineRule="auto"/>
        <w:jc w:val="both"/>
        <w:rPr>
          <w:b/>
          <w:rtl/>
        </w:rPr>
      </w:pPr>
      <w:r>
        <w:rPr>
          <w:rFonts w:hint="cs"/>
          <w:b/>
          <w:rtl/>
        </w:rPr>
        <w:t>זאת ועוד, ל</w:t>
      </w:r>
      <w:r w:rsidRPr="00DE0F60">
        <w:rPr>
          <w:b/>
          <w:rtl/>
        </w:rPr>
        <w:t>עניין זה ראה ספרו של המלומד יגאל מרזל, "</w:t>
      </w:r>
      <w:r w:rsidRPr="00DE0F60">
        <w:rPr>
          <w:bCs/>
          <w:rtl/>
        </w:rPr>
        <w:t>דיני פסלות שופט</w:t>
      </w:r>
      <w:r w:rsidRPr="00DE0F60">
        <w:rPr>
          <w:b/>
          <w:rtl/>
        </w:rPr>
        <w:t>", עמ' 180:</w:t>
      </w:r>
    </w:p>
    <w:p w:rsidR="00B336BA" w:rsidRDefault="00B336BA" w:rsidP="00C73911">
      <w:pPr>
        <w:autoSpaceDE w:val="0"/>
        <w:autoSpaceDN w:val="0"/>
        <w:adjustRightInd w:val="0"/>
        <w:spacing w:before="240" w:after="100" w:line="360" w:lineRule="auto"/>
        <w:ind w:left="720"/>
        <w:jc w:val="both"/>
        <w:rPr>
          <w:bCs/>
          <w:rtl/>
        </w:rPr>
      </w:pPr>
      <w:r w:rsidRPr="001044BF">
        <w:rPr>
          <w:bCs/>
          <w:rtl/>
        </w:rPr>
        <w:t>"לא פעם מביע בית המשפט בשלב זה עמדות לכאורה או מקבל החלטות דיוניות, שיכול ויצביעו על עמדות לכאורה שיש לו. יש שבעלי דין ביקשו את פסילת בית המשפט בשל התנהלותו בהליך קדם משפט. תקנה 140 לתקנות סדר הדין האזרחי קובעת כי קדם המשפט נועד לשם 'בירור של נושא הריב ודרכי הדיון בו במגמה לייעל את הדיון, לפשטו, לקצרו ולהחישו או כדי לברר אם יש מקום לפשרה בין בעלי הדין'. בהמשך לכך נקבע בכמה פסקי דין, כי התבטאויות השופט במסגרת זו, שמטרתן אכן לייעל את הדיון ולנסות להביא להבנות בין בעלי הדין, הן פעמים רבות לכאוריות בלבד ואין בהן כדי לבסס חשש ממשי למשוא פנים או להביע עמדה לגוף העניין. אלה התבטאויות והחלטות המתקבלות בשלב מוקדם של ההליך, בטרם שמיעת טענות והבאת ראיות, וממילא אין לראות בהן חריצת דעה ממשית שאינה ניתנת לשינוי ולשכנוע. ברוב המקרים לא יהא בהתבטאות השופט ובהחלטותיו במסגרת קדם המשפט משום עילת פסלות".</w:t>
      </w:r>
    </w:p>
    <w:p w:rsidR="00B336BA" w:rsidRDefault="00B336BA" w:rsidP="00B336BA">
      <w:pPr>
        <w:pStyle w:val="ad"/>
        <w:overflowPunct w:val="0"/>
        <w:autoSpaceDE w:val="0"/>
        <w:autoSpaceDN w:val="0"/>
        <w:spacing w:line="360" w:lineRule="auto"/>
        <w:ind w:left="360"/>
        <w:jc w:val="both"/>
        <w:rPr>
          <w:rFonts w:ascii="David" w:hAnsi="David"/>
          <w:noProof w:val="0"/>
          <w:spacing w:val="10"/>
          <w:sz w:val="22"/>
          <w:szCs w:val="22"/>
        </w:rPr>
      </w:pPr>
    </w:p>
    <w:p w:rsidR="00B336BA" w:rsidRPr="00985D05" w:rsidRDefault="00B336BA" w:rsidP="00B336BA">
      <w:pPr>
        <w:pStyle w:val="ad"/>
        <w:numPr>
          <w:ilvl w:val="0"/>
          <w:numId w:val="1"/>
        </w:numPr>
        <w:overflowPunct w:val="0"/>
        <w:autoSpaceDE w:val="0"/>
        <w:autoSpaceDN w:val="0"/>
        <w:spacing w:line="360" w:lineRule="auto"/>
        <w:jc w:val="both"/>
        <w:rPr>
          <w:rFonts w:ascii="David" w:hAnsi="David"/>
          <w:noProof w:val="0"/>
          <w:spacing w:val="10"/>
        </w:rPr>
      </w:pPr>
      <w:r w:rsidRPr="00985D05">
        <w:rPr>
          <w:rFonts w:ascii="David" w:hAnsi="David" w:hint="cs"/>
          <w:noProof w:val="0"/>
          <w:spacing w:val="10"/>
          <w:rtl/>
        </w:rPr>
        <w:t>במקרה דנן למרות שהתנהלו בפניי שלושה הליכים קודמים בשנים 202</w:t>
      </w:r>
      <w:r>
        <w:rPr>
          <w:rFonts w:ascii="David" w:hAnsi="David" w:hint="cs"/>
          <w:noProof w:val="0"/>
          <w:spacing w:val="10"/>
          <w:rtl/>
        </w:rPr>
        <w:t xml:space="preserve">0 </w:t>
      </w:r>
      <w:r w:rsidRPr="00985D05">
        <w:rPr>
          <w:rFonts w:ascii="David" w:hAnsi="David" w:hint="cs"/>
          <w:noProof w:val="0"/>
          <w:spacing w:val="10"/>
          <w:rtl/>
        </w:rPr>
        <w:t xml:space="preserve">,2022 ו -2023 </w:t>
      </w:r>
      <w:r w:rsidR="00C73911">
        <w:rPr>
          <w:rFonts w:ascii="David" w:hAnsi="David" w:hint="cs"/>
          <w:noProof w:val="0"/>
          <w:spacing w:val="10"/>
          <w:rtl/>
        </w:rPr>
        <w:t>מדובר היה אך ורק בהליכי י"ס ו</w:t>
      </w:r>
      <w:r w:rsidRPr="00985D05">
        <w:rPr>
          <w:rFonts w:ascii="David" w:hAnsi="David" w:hint="cs"/>
          <w:noProof w:val="0"/>
          <w:spacing w:val="10"/>
          <w:rtl/>
        </w:rPr>
        <w:t xml:space="preserve">לא התקיים בפניי אף לא דיון קדם משפט אחד. כך שלמותב זה אין </w:t>
      </w:r>
      <w:r w:rsidR="00C73911">
        <w:rPr>
          <w:rFonts w:ascii="David" w:hAnsi="David" w:hint="cs"/>
          <w:noProof w:val="0"/>
          <w:spacing w:val="10"/>
          <w:rtl/>
        </w:rPr>
        <w:t xml:space="preserve">כל </w:t>
      </w:r>
      <w:r w:rsidRPr="00985D05">
        <w:rPr>
          <w:rFonts w:ascii="David" w:hAnsi="David" w:hint="cs"/>
          <w:noProof w:val="0"/>
          <w:spacing w:val="10"/>
          <w:rtl/>
        </w:rPr>
        <w:t xml:space="preserve">"היכרות" עם הצדדים אלא </w:t>
      </w:r>
      <w:r>
        <w:rPr>
          <w:rFonts w:ascii="David" w:hAnsi="David" w:hint="cs"/>
          <w:noProof w:val="0"/>
          <w:spacing w:val="10"/>
          <w:rtl/>
        </w:rPr>
        <w:t>הכרה של</w:t>
      </w:r>
      <w:r w:rsidRPr="00985D05">
        <w:rPr>
          <w:rFonts w:ascii="David" w:hAnsi="David" w:hint="cs"/>
          <w:noProof w:val="0"/>
          <w:spacing w:val="10"/>
          <w:rtl/>
        </w:rPr>
        <w:t xml:space="preserve"> העובדות המשפטיות </w:t>
      </w:r>
      <w:r>
        <w:rPr>
          <w:rFonts w:ascii="David" w:hAnsi="David" w:hint="cs"/>
          <w:noProof w:val="0"/>
          <w:spacing w:val="10"/>
          <w:rtl/>
        </w:rPr>
        <w:t xml:space="preserve">שהוגשו והוצגו בהליכים </w:t>
      </w:r>
      <w:r w:rsidRPr="00985D05">
        <w:rPr>
          <w:rFonts w:ascii="David" w:hAnsi="David" w:hint="cs"/>
          <w:noProof w:val="0"/>
          <w:spacing w:val="10"/>
          <w:rtl/>
        </w:rPr>
        <w:t>ונשקלו ב</w:t>
      </w:r>
      <w:r>
        <w:rPr>
          <w:rFonts w:ascii="David" w:hAnsi="David" w:hint="cs"/>
          <w:noProof w:val="0"/>
          <w:spacing w:val="10"/>
          <w:rtl/>
        </w:rPr>
        <w:t xml:space="preserve">מועד </w:t>
      </w:r>
      <w:r w:rsidRPr="00985D05">
        <w:rPr>
          <w:rFonts w:ascii="David" w:hAnsi="David" w:hint="cs"/>
          <w:noProof w:val="0"/>
          <w:spacing w:val="10"/>
          <w:rtl/>
        </w:rPr>
        <w:t xml:space="preserve">מתן ההחלטות. </w:t>
      </w:r>
      <w:r>
        <w:rPr>
          <w:rFonts w:ascii="David" w:hAnsi="David" w:hint="cs"/>
          <w:noProof w:val="0"/>
          <w:spacing w:val="10"/>
          <w:rtl/>
        </w:rPr>
        <w:t xml:space="preserve">מעבר לכך בהתאם לפסיקה ולתקנות סדרי הדין, </w:t>
      </w:r>
      <w:r w:rsidRPr="00985D05">
        <w:rPr>
          <w:rFonts w:ascii="David" w:hAnsi="David" w:hint="cs"/>
          <w:noProof w:val="0"/>
          <w:spacing w:val="10"/>
          <w:rtl/>
        </w:rPr>
        <w:t>ככל והמבקש סבר כי קיים חשש למשוא פנים היה עליו להגיש בקשה זו כבר בעת שעלה חשש זה לראשונה</w:t>
      </w:r>
      <w:r>
        <w:rPr>
          <w:rFonts w:ascii="David" w:hAnsi="David" w:hint="cs"/>
          <w:noProof w:val="0"/>
          <w:spacing w:val="10"/>
          <w:rtl/>
        </w:rPr>
        <w:t>.</w:t>
      </w:r>
    </w:p>
    <w:p w:rsidR="00B336BA" w:rsidRPr="00DE0F60" w:rsidRDefault="00B336BA" w:rsidP="00B336BA">
      <w:pPr>
        <w:pStyle w:val="ad"/>
        <w:rPr>
          <w:rFonts w:ascii="David" w:hAnsi="David"/>
          <w:noProof w:val="0"/>
          <w:spacing w:val="10"/>
          <w:rtl/>
        </w:rPr>
      </w:pPr>
    </w:p>
    <w:p w:rsidR="00B336BA" w:rsidRPr="00DE0F60" w:rsidRDefault="00B336BA" w:rsidP="00B336BA">
      <w:pPr>
        <w:pStyle w:val="ad"/>
        <w:rPr>
          <w:rFonts w:ascii="David" w:hAnsi="David"/>
          <w:noProof w:val="0"/>
          <w:spacing w:val="10"/>
          <w:rtl/>
        </w:rPr>
      </w:pPr>
    </w:p>
    <w:p w:rsidR="00B336BA" w:rsidRDefault="00B336BA" w:rsidP="00B336BA">
      <w:pPr>
        <w:pStyle w:val="ad"/>
        <w:numPr>
          <w:ilvl w:val="0"/>
          <w:numId w:val="1"/>
        </w:numPr>
        <w:overflowPunct w:val="0"/>
        <w:autoSpaceDE w:val="0"/>
        <w:autoSpaceDN w:val="0"/>
        <w:spacing w:line="360" w:lineRule="auto"/>
        <w:jc w:val="both"/>
        <w:rPr>
          <w:rFonts w:ascii="David" w:hAnsi="David"/>
          <w:noProof w:val="0"/>
          <w:spacing w:val="10"/>
        </w:rPr>
      </w:pPr>
      <w:r w:rsidRPr="00373E57">
        <w:rPr>
          <w:rFonts w:ascii="David" w:hAnsi="David"/>
          <w:noProof w:val="0"/>
          <w:spacing w:val="10"/>
          <w:rtl/>
        </w:rPr>
        <w:t>הזכות</w:t>
      </w:r>
      <w:r w:rsidRPr="00373E57">
        <w:rPr>
          <w:rFonts w:ascii="David" w:hAnsi="David"/>
          <w:noProof w:val="0"/>
          <w:spacing w:val="10"/>
        </w:rPr>
        <w:t xml:space="preserve"> </w:t>
      </w:r>
      <w:r w:rsidRPr="00373E57">
        <w:rPr>
          <w:rFonts w:ascii="David" w:hAnsi="David"/>
          <w:noProof w:val="0"/>
          <w:spacing w:val="10"/>
          <w:rtl/>
        </w:rPr>
        <w:t>לשבת</w:t>
      </w:r>
      <w:r w:rsidRPr="00373E57">
        <w:rPr>
          <w:rFonts w:ascii="David" w:hAnsi="David"/>
          <w:noProof w:val="0"/>
          <w:spacing w:val="10"/>
        </w:rPr>
        <w:t xml:space="preserve"> </w:t>
      </w:r>
      <w:r w:rsidRPr="00373E57">
        <w:rPr>
          <w:rFonts w:ascii="David" w:hAnsi="David"/>
          <w:noProof w:val="0"/>
          <w:spacing w:val="10"/>
          <w:rtl/>
        </w:rPr>
        <w:t>בדין,</w:t>
      </w:r>
      <w:r w:rsidRPr="00373E57">
        <w:rPr>
          <w:rFonts w:ascii="David" w:hAnsi="David"/>
          <w:noProof w:val="0"/>
          <w:spacing w:val="10"/>
        </w:rPr>
        <w:t xml:space="preserve"> </w:t>
      </w:r>
      <w:r w:rsidRPr="00373E57">
        <w:rPr>
          <w:rFonts w:ascii="David" w:hAnsi="David"/>
          <w:noProof w:val="0"/>
          <w:spacing w:val="10"/>
          <w:rtl/>
        </w:rPr>
        <w:t>היא</w:t>
      </w:r>
      <w:r w:rsidRPr="00373E57">
        <w:rPr>
          <w:rFonts w:ascii="David" w:hAnsi="David"/>
          <w:noProof w:val="0"/>
          <w:spacing w:val="10"/>
        </w:rPr>
        <w:t xml:space="preserve"> </w:t>
      </w:r>
      <w:r w:rsidRPr="00373E57">
        <w:rPr>
          <w:rFonts w:ascii="David" w:hAnsi="David"/>
          <w:noProof w:val="0"/>
          <w:spacing w:val="10"/>
          <w:rtl/>
        </w:rPr>
        <w:t>גם</w:t>
      </w:r>
      <w:r w:rsidRPr="00373E57">
        <w:rPr>
          <w:rFonts w:ascii="David" w:hAnsi="David"/>
          <w:noProof w:val="0"/>
          <w:spacing w:val="10"/>
        </w:rPr>
        <w:t xml:space="preserve"> </w:t>
      </w:r>
      <w:r w:rsidRPr="00373E57">
        <w:rPr>
          <w:rFonts w:ascii="David" w:hAnsi="David"/>
          <w:noProof w:val="0"/>
          <w:spacing w:val="10"/>
          <w:rtl/>
        </w:rPr>
        <w:t>החובה</w:t>
      </w:r>
      <w:r w:rsidRPr="00373E57">
        <w:rPr>
          <w:rFonts w:ascii="David" w:hAnsi="David"/>
          <w:noProof w:val="0"/>
          <w:spacing w:val="10"/>
        </w:rPr>
        <w:t xml:space="preserve"> </w:t>
      </w:r>
      <w:r w:rsidRPr="00373E57">
        <w:rPr>
          <w:rFonts w:ascii="David" w:hAnsi="David"/>
          <w:noProof w:val="0"/>
          <w:spacing w:val="10"/>
          <w:rtl/>
        </w:rPr>
        <w:t>לעשות</w:t>
      </w:r>
      <w:r w:rsidRPr="00373E57">
        <w:rPr>
          <w:rFonts w:ascii="David" w:hAnsi="David"/>
          <w:noProof w:val="0"/>
          <w:spacing w:val="10"/>
        </w:rPr>
        <w:t xml:space="preserve"> </w:t>
      </w:r>
      <w:r w:rsidRPr="00373E57">
        <w:rPr>
          <w:rFonts w:ascii="David" w:hAnsi="David"/>
          <w:noProof w:val="0"/>
          <w:spacing w:val="10"/>
          <w:rtl/>
        </w:rPr>
        <w:t>כן (ראה ע"פ 2/95 מדינת ישראל נ' זינאתי).</w:t>
      </w:r>
      <w:r w:rsidRPr="00373E57">
        <w:rPr>
          <w:rFonts w:ascii="David" w:hAnsi="David" w:hint="cs"/>
          <w:noProof w:val="0"/>
          <w:spacing w:val="10"/>
          <w:rtl/>
        </w:rPr>
        <w:t xml:space="preserve"> </w:t>
      </w:r>
      <w:r w:rsidRPr="00373E57">
        <w:rPr>
          <w:rFonts w:ascii="David" w:hAnsi="David"/>
          <w:noProof w:val="0"/>
          <w:spacing w:val="10"/>
          <w:rtl/>
        </w:rPr>
        <w:t>כבר נקבע בפסיקה כי השתחררות בלתי ראויה של השופט מהדיון פוגעת בהגינות המשפט ובאמון הציבור.</w:t>
      </w:r>
      <w:r w:rsidRPr="00373E57">
        <w:rPr>
          <w:rFonts w:ascii="David" w:hAnsi="David" w:hint="cs"/>
          <w:noProof w:val="0"/>
          <w:spacing w:val="10"/>
          <w:rtl/>
        </w:rPr>
        <w:t xml:space="preserve"> </w:t>
      </w:r>
      <w:r w:rsidRPr="00373E57">
        <w:rPr>
          <w:rFonts w:ascii="David" w:hAnsi="David"/>
          <w:noProof w:val="0"/>
          <w:spacing w:val="10"/>
          <w:rtl/>
        </w:rPr>
        <w:t>ועל כן, המבחן הוא האם</w:t>
      </w:r>
      <w:r w:rsidRPr="00373E57">
        <w:rPr>
          <w:rFonts w:ascii="David" w:hAnsi="David"/>
          <w:noProof w:val="0"/>
          <w:spacing w:val="10"/>
        </w:rPr>
        <w:t xml:space="preserve"> </w:t>
      </w:r>
      <w:r w:rsidRPr="00373E57">
        <w:rPr>
          <w:rFonts w:ascii="David" w:hAnsi="David"/>
          <w:noProof w:val="0"/>
          <w:spacing w:val="10"/>
          <w:rtl/>
        </w:rPr>
        <w:t>נתקיים</w:t>
      </w:r>
      <w:r w:rsidRPr="00373E57">
        <w:rPr>
          <w:rFonts w:ascii="David" w:hAnsi="David"/>
          <w:noProof w:val="0"/>
          <w:spacing w:val="10"/>
        </w:rPr>
        <w:t xml:space="preserve"> </w:t>
      </w:r>
      <w:r w:rsidRPr="00373E57">
        <w:rPr>
          <w:rFonts w:ascii="David" w:hAnsi="David"/>
          <w:noProof w:val="0"/>
          <w:spacing w:val="10"/>
          <w:rtl/>
        </w:rPr>
        <w:t>חשש</w:t>
      </w:r>
      <w:r w:rsidRPr="00373E57">
        <w:rPr>
          <w:rFonts w:ascii="David" w:hAnsi="David"/>
          <w:noProof w:val="0"/>
          <w:spacing w:val="10"/>
        </w:rPr>
        <w:t xml:space="preserve"> </w:t>
      </w:r>
      <w:r w:rsidRPr="00373E57">
        <w:rPr>
          <w:rFonts w:ascii="David" w:hAnsi="David"/>
          <w:noProof w:val="0"/>
          <w:spacing w:val="10"/>
          <w:rtl/>
        </w:rPr>
        <w:t>ממשי</w:t>
      </w:r>
      <w:r w:rsidRPr="00373E57">
        <w:rPr>
          <w:rFonts w:ascii="David" w:hAnsi="David"/>
          <w:noProof w:val="0"/>
          <w:spacing w:val="10"/>
        </w:rPr>
        <w:t xml:space="preserve"> </w:t>
      </w:r>
      <w:r w:rsidRPr="00373E57">
        <w:rPr>
          <w:rFonts w:ascii="David" w:hAnsi="David"/>
          <w:noProof w:val="0"/>
          <w:spacing w:val="10"/>
          <w:rtl/>
        </w:rPr>
        <w:t>במובן</w:t>
      </w:r>
      <w:r w:rsidRPr="00373E57">
        <w:rPr>
          <w:rFonts w:ascii="David" w:hAnsi="David"/>
          <w:noProof w:val="0"/>
          <w:spacing w:val="10"/>
        </w:rPr>
        <w:t xml:space="preserve"> </w:t>
      </w:r>
      <w:r w:rsidRPr="00373E57">
        <w:rPr>
          <w:rFonts w:ascii="David" w:hAnsi="David"/>
          <w:noProof w:val="0"/>
          <w:spacing w:val="10"/>
          <w:rtl/>
        </w:rPr>
        <w:t>זה</w:t>
      </w:r>
      <w:r w:rsidRPr="00373E57">
        <w:rPr>
          <w:rFonts w:ascii="David" w:hAnsi="David"/>
          <w:noProof w:val="0"/>
          <w:spacing w:val="10"/>
        </w:rPr>
        <w:t xml:space="preserve"> </w:t>
      </w:r>
      <w:r w:rsidRPr="00373E57">
        <w:rPr>
          <w:rFonts w:ascii="David" w:hAnsi="David"/>
          <w:noProof w:val="0"/>
          <w:spacing w:val="10"/>
          <w:rtl/>
        </w:rPr>
        <w:t>שדעתו</w:t>
      </w:r>
      <w:r w:rsidRPr="00373E57">
        <w:rPr>
          <w:rFonts w:ascii="David" w:hAnsi="David"/>
          <w:noProof w:val="0"/>
          <w:spacing w:val="10"/>
        </w:rPr>
        <w:t xml:space="preserve"> </w:t>
      </w:r>
      <w:r w:rsidRPr="00373E57">
        <w:rPr>
          <w:rFonts w:ascii="David" w:hAnsi="David"/>
          <w:noProof w:val="0"/>
          <w:spacing w:val="10"/>
          <w:rtl/>
        </w:rPr>
        <w:t>של</w:t>
      </w:r>
      <w:r w:rsidRPr="00373E57">
        <w:rPr>
          <w:rFonts w:ascii="David" w:hAnsi="David"/>
          <w:noProof w:val="0"/>
          <w:spacing w:val="10"/>
        </w:rPr>
        <w:t xml:space="preserve"> </w:t>
      </w:r>
      <w:r w:rsidRPr="00373E57">
        <w:rPr>
          <w:rFonts w:ascii="David" w:hAnsi="David"/>
          <w:noProof w:val="0"/>
          <w:spacing w:val="10"/>
          <w:rtl/>
        </w:rPr>
        <w:t>היושב</w:t>
      </w:r>
      <w:r w:rsidRPr="00373E57">
        <w:rPr>
          <w:rFonts w:ascii="David" w:hAnsi="David"/>
          <w:noProof w:val="0"/>
          <w:spacing w:val="10"/>
        </w:rPr>
        <w:t xml:space="preserve"> </w:t>
      </w:r>
      <w:r w:rsidRPr="00373E57">
        <w:rPr>
          <w:rFonts w:ascii="David" w:hAnsi="David"/>
          <w:noProof w:val="0"/>
          <w:spacing w:val="10"/>
          <w:rtl/>
        </w:rPr>
        <w:t>בדין "קובעה".</w:t>
      </w:r>
    </w:p>
    <w:p w:rsidR="00B336BA" w:rsidRPr="00E36884" w:rsidRDefault="00B336BA" w:rsidP="00B336BA">
      <w:pPr>
        <w:pStyle w:val="ad"/>
        <w:rPr>
          <w:rFonts w:ascii="David" w:hAnsi="David"/>
          <w:noProof w:val="0"/>
          <w:spacing w:val="10"/>
          <w:rtl/>
        </w:rPr>
      </w:pPr>
    </w:p>
    <w:p w:rsidR="00B336BA" w:rsidRPr="00C73911" w:rsidRDefault="00B336BA" w:rsidP="00C73911">
      <w:pPr>
        <w:pStyle w:val="ad"/>
        <w:overflowPunct w:val="0"/>
        <w:autoSpaceDE w:val="0"/>
        <w:autoSpaceDN w:val="0"/>
        <w:spacing w:line="360" w:lineRule="auto"/>
        <w:jc w:val="both"/>
        <w:rPr>
          <w:rFonts w:ascii="David" w:hAnsi="David"/>
          <w:noProof w:val="0"/>
          <w:spacing w:val="10"/>
          <w:sz w:val="22"/>
          <w:szCs w:val="22"/>
          <w:rtl/>
        </w:rPr>
      </w:pPr>
      <w:r w:rsidRPr="00E36884">
        <w:rPr>
          <w:rFonts w:ascii="David" w:hAnsi="David" w:hint="cs"/>
          <w:b/>
          <w:bCs/>
          <w:noProof w:val="0"/>
          <w:spacing w:val="10"/>
          <w:sz w:val="22"/>
          <w:szCs w:val="22"/>
          <w:rtl/>
        </w:rPr>
        <w:t>"</w:t>
      </w:r>
      <w:r w:rsidRPr="009C3BFE">
        <w:rPr>
          <w:rFonts w:ascii="David" w:hAnsi="David"/>
          <w:b/>
          <w:bCs/>
          <w:noProof w:val="0"/>
          <w:spacing w:val="10"/>
          <w:sz w:val="22"/>
          <w:szCs w:val="22"/>
          <w:rtl/>
        </w:rPr>
        <w:t>בסופו של דבר הזכות לשבת במשפט היא גם החובה לעשות כן. שופט אינו חופשי לפסול עצמו, אלא על סמך נתונים אובייקטיביים שיש בהם כדי להצביע על חשש ממשי למשוא פנים (ראו: ע"פ  5756/95 עדנאן עתאמנה נ' מדינת ישראל (לא פורסם); ע"פ 2/95 מדינת ישראל נ' זינאתי, פ"ד מט(1) 43, 39; ע"פ 2113/91 מדינת ישראל נ' יהודה,פ"ד מה(3) 790). השתחררות בלתי ראויה של השופט מהדיון במשפט פוגעת בהגינות המשפט, באמון הציבור וגוררת אחריה עיוות דין באותה מידה כמו המשך דיון בעניין שמן הראוי הוא לשופט לפסול את עצמו ממנו</w:t>
      </w:r>
      <w:r>
        <w:rPr>
          <w:rFonts w:ascii="David" w:hAnsi="David" w:hint="cs"/>
          <w:noProof w:val="0"/>
          <w:spacing w:val="10"/>
          <w:rtl/>
        </w:rPr>
        <w:t>"</w:t>
      </w:r>
      <w:r w:rsidRPr="009C3BFE">
        <w:rPr>
          <w:rFonts w:ascii="David" w:hAnsi="David"/>
          <w:noProof w:val="0"/>
          <w:spacing w:val="10"/>
          <w:rtl/>
        </w:rPr>
        <w:t>.</w:t>
      </w:r>
      <w:r>
        <w:rPr>
          <w:rFonts w:ascii="David" w:hAnsi="David" w:hint="cs"/>
          <w:noProof w:val="0"/>
          <w:spacing w:val="10"/>
          <w:rtl/>
        </w:rPr>
        <w:t xml:space="preserve"> </w:t>
      </w:r>
      <w:r w:rsidR="00C73911">
        <w:rPr>
          <w:rFonts w:ascii="David" w:hAnsi="David" w:hint="cs"/>
          <w:noProof w:val="0"/>
          <w:spacing w:val="10"/>
          <w:rtl/>
        </w:rPr>
        <w:t xml:space="preserve">  </w:t>
      </w:r>
      <w:r w:rsidRPr="00C73911">
        <w:rPr>
          <w:rFonts w:ascii="David" w:hAnsi="David" w:hint="cs"/>
          <w:noProof w:val="0"/>
          <w:spacing w:val="10"/>
          <w:sz w:val="22"/>
          <w:szCs w:val="22"/>
          <w:rtl/>
        </w:rPr>
        <w:t>(</w:t>
      </w:r>
      <w:r w:rsidRPr="00C73911">
        <w:rPr>
          <w:rFonts w:ascii="David" w:hAnsi="David"/>
          <w:noProof w:val="0"/>
          <w:spacing w:val="10"/>
          <w:sz w:val="22"/>
          <w:szCs w:val="22"/>
          <w:rtl/>
        </w:rPr>
        <w:t xml:space="preserve">ע"א 6275/03 </w:t>
      </w:r>
      <w:r w:rsidRPr="00C73911">
        <w:rPr>
          <w:rFonts w:ascii="David" w:hAnsi="David"/>
          <w:b/>
          <w:bCs/>
          <w:noProof w:val="0"/>
          <w:spacing w:val="10"/>
          <w:sz w:val="22"/>
          <w:szCs w:val="22"/>
          <w:rtl/>
        </w:rPr>
        <w:t>שגיא</w:t>
      </w:r>
      <w:r w:rsidRPr="00C73911">
        <w:rPr>
          <w:rFonts w:ascii="David" w:hAnsi="David"/>
          <w:noProof w:val="0"/>
          <w:spacing w:val="10"/>
          <w:sz w:val="22"/>
          <w:szCs w:val="22"/>
          <w:rtl/>
        </w:rPr>
        <w:t xml:space="preserve"> נ' </w:t>
      </w:r>
      <w:r w:rsidRPr="00C73911">
        <w:rPr>
          <w:rFonts w:ascii="David" w:hAnsi="David"/>
          <w:b/>
          <w:bCs/>
          <w:noProof w:val="0"/>
          <w:spacing w:val="10"/>
          <w:sz w:val="22"/>
          <w:szCs w:val="22"/>
          <w:rtl/>
        </w:rPr>
        <w:t>סלע</w:t>
      </w:r>
      <w:r w:rsidRPr="00C73911">
        <w:rPr>
          <w:rFonts w:ascii="David" w:hAnsi="David" w:hint="cs"/>
          <w:noProof w:val="0"/>
          <w:spacing w:val="10"/>
          <w:sz w:val="22"/>
          <w:szCs w:val="22"/>
          <w:rtl/>
        </w:rPr>
        <w:t>)</w:t>
      </w:r>
    </w:p>
    <w:p w:rsidR="00B336BA" w:rsidRPr="00373E57" w:rsidRDefault="00B336BA" w:rsidP="00B336BA">
      <w:pPr>
        <w:pStyle w:val="ad"/>
        <w:overflowPunct w:val="0"/>
        <w:autoSpaceDE w:val="0"/>
        <w:autoSpaceDN w:val="0"/>
        <w:spacing w:line="360" w:lineRule="auto"/>
        <w:ind w:left="360"/>
        <w:jc w:val="both"/>
        <w:rPr>
          <w:rFonts w:ascii="David" w:hAnsi="David"/>
          <w:noProof w:val="0"/>
          <w:spacing w:val="10"/>
          <w:rtl/>
        </w:rPr>
      </w:pPr>
    </w:p>
    <w:p w:rsidR="00B336BA" w:rsidRPr="00E36884" w:rsidRDefault="00B336BA" w:rsidP="00B336BA">
      <w:pPr>
        <w:pStyle w:val="ad"/>
        <w:numPr>
          <w:ilvl w:val="0"/>
          <w:numId w:val="1"/>
        </w:numPr>
        <w:overflowPunct w:val="0"/>
        <w:autoSpaceDE w:val="0"/>
        <w:autoSpaceDN w:val="0"/>
        <w:spacing w:line="360" w:lineRule="auto"/>
        <w:jc w:val="both"/>
        <w:rPr>
          <w:rFonts w:ascii="David" w:hAnsi="David"/>
          <w:noProof w:val="0"/>
          <w:spacing w:val="10"/>
        </w:rPr>
      </w:pPr>
      <w:r w:rsidRPr="00E36884">
        <w:rPr>
          <w:rFonts w:ascii="David" w:hAnsi="David"/>
          <w:noProof w:val="0"/>
          <w:spacing w:val="10"/>
          <w:rtl/>
        </w:rPr>
        <w:t>המקרה שלפנינו אינו נכנס בגדר המקרים שבהם דעתו של השופט "ננעלה" או "קובעה" ולא קיים כל חשש</w:t>
      </w:r>
      <w:r w:rsidRPr="00E36884">
        <w:rPr>
          <w:rFonts w:ascii="David" w:hAnsi="David"/>
          <w:noProof w:val="0"/>
          <w:spacing w:val="10"/>
        </w:rPr>
        <w:t xml:space="preserve"> </w:t>
      </w:r>
      <w:r w:rsidRPr="00E36884">
        <w:rPr>
          <w:rFonts w:ascii="David" w:hAnsi="David"/>
          <w:noProof w:val="0"/>
          <w:spacing w:val="10"/>
          <w:rtl/>
        </w:rPr>
        <w:t>ממשי</w:t>
      </w:r>
      <w:r w:rsidRPr="00E36884">
        <w:rPr>
          <w:rFonts w:ascii="David" w:hAnsi="David"/>
          <w:noProof w:val="0"/>
          <w:spacing w:val="10"/>
        </w:rPr>
        <w:t xml:space="preserve"> </w:t>
      </w:r>
      <w:r w:rsidRPr="00E36884">
        <w:rPr>
          <w:rFonts w:ascii="David" w:hAnsi="David"/>
          <w:noProof w:val="0"/>
          <w:spacing w:val="10"/>
          <w:rtl/>
        </w:rPr>
        <w:t>אובייקטיבי</w:t>
      </w:r>
      <w:r w:rsidRPr="00E36884">
        <w:rPr>
          <w:rFonts w:ascii="David" w:hAnsi="David" w:hint="cs"/>
          <w:noProof w:val="0"/>
          <w:spacing w:val="10"/>
          <w:rtl/>
        </w:rPr>
        <w:t xml:space="preserve"> (ואף לא סובייקטיבי)</w:t>
      </w:r>
      <w:r w:rsidRPr="00E36884">
        <w:rPr>
          <w:rFonts w:ascii="David" w:hAnsi="David"/>
          <w:noProof w:val="0"/>
          <w:spacing w:val="10"/>
          <w:rtl/>
        </w:rPr>
        <w:t>, כי ג</w:t>
      </w:r>
      <w:r w:rsidRPr="00E36884">
        <w:rPr>
          <w:rFonts w:ascii="David" w:hAnsi="David" w:hint="cs"/>
          <w:noProof w:val="0"/>
          <w:spacing w:val="10"/>
          <w:rtl/>
        </w:rPr>
        <w:t>ובשה על ידי בית המשפט</w:t>
      </w:r>
      <w:r w:rsidRPr="00E36884">
        <w:rPr>
          <w:rFonts w:ascii="David" w:hAnsi="David"/>
          <w:noProof w:val="0"/>
          <w:spacing w:val="10"/>
          <w:rtl/>
        </w:rPr>
        <w:t xml:space="preserve"> עמדה</w:t>
      </w:r>
      <w:r w:rsidRPr="00E36884">
        <w:rPr>
          <w:rFonts w:ascii="David" w:hAnsi="David"/>
          <w:noProof w:val="0"/>
          <w:spacing w:val="10"/>
        </w:rPr>
        <w:t xml:space="preserve"> </w:t>
      </w:r>
      <w:r w:rsidRPr="00E36884">
        <w:rPr>
          <w:rFonts w:ascii="David" w:hAnsi="David"/>
          <w:noProof w:val="0"/>
          <w:spacing w:val="10"/>
          <w:rtl/>
        </w:rPr>
        <w:t>מוגמרת</w:t>
      </w:r>
      <w:r w:rsidRPr="00E36884">
        <w:rPr>
          <w:rFonts w:ascii="David" w:hAnsi="David"/>
          <w:noProof w:val="0"/>
          <w:spacing w:val="10"/>
        </w:rPr>
        <w:t xml:space="preserve"> </w:t>
      </w:r>
      <w:r w:rsidRPr="00E36884">
        <w:rPr>
          <w:rFonts w:ascii="David" w:hAnsi="David"/>
          <w:noProof w:val="0"/>
          <w:spacing w:val="10"/>
          <w:rtl/>
        </w:rPr>
        <w:t>בתיק.</w:t>
      </w:r>
      <w:r w:rsidRPr="00E36884">
        <w:rPr>
          <w:rFonts w:ascii="David" w:hAnsi="David" w:hint="cs"/>
          <w:noProof w:val="0"/>
          <w:spacing w:val="10"/>
          <w:rtl/>
        </w:rPr>
        <w:t xml:space="preserve">  </w:t>
      </w:r>
      <w:r w:rsidR="00C73911">
        <w:rPr>
          <w:rFonts w:ascii="David" w:hAnsi="David" w:hint="cs"/>
          <w:noProof w:val="0"/>
          <w:spacing w:val="10"/>
          <w:rtl/>
        </w:rPr>
        <w:t xml:space="preserve">כך </w:t>
      </w:r>
      <w:r w:rsidRPr="00E36884">
        <w:rPr>
          <w:rFonts w:ascii="David" w:hAnsi="David" w:hint="cs"/>
          <w:noProof w:val="0"/>
          <w:spacing w:val="10"/>
          <w:rtl/>
        </w:rPr>
        <w:t>גם לא מצאתי כי התקיים ה"מבחן האובייקטיבי" כמפורט בפסיקה.</w:t>
      </w:r>
    </w:p>
    <w:p w:rsidR="00B336BA" w:rsidRPr="00373E57" w:rsidRDefault="00B336BA" w:rsidP="00B336BA">
      <w:pPr>
        <w:pStyle w:val="ad"/>
        <w:overflowPunct w:val="0"/>
        <w:autoSpaceDE w:val="0"/>
        <w:autoSpaceDN w:val="0"/>
        <w:spacing w:line="360" w:lineRule="auto"/>
        <w:ind w:left="360"/>
        <w:jc w:val="both"/>
        <w:rPr>
          <w:rFonts w:ascii="David" w:hAnsi="David"/>
          <w:noProof w:val="0"/>
          <w:spacing w:val="10"/>
          <w:rtl/>
        </w:rPr>
      </w:pPr>
    </w:p>
    <w:p w:rsidR="00B336BA" w:rsidRDefault="00B336BA" w:rsidP="00B336BA">
      <w:pPr>
        <w:numPr>
          <w:ilvl w:val="0"/>
          <w:numId w:val="1"/>
        </w:numPr>
        <w:autoSpaceDE w:val="0"/>
        <w:autoSpaceDN w:val="0"/>
        <w:adjustRightInd w:val="0"/>
        <w:spacing w:before="100" w:after="100" w:line="360" w:lineRule="auto"/>
        <w:contextualSpacing/>
        <w:jc w:val="both"/>
        <w:rPr>
          <w:b/>
        </w:rPr>
      </w:pPr>
      <w:r w:rsidRPr="001044BF">
        <w:rPr>
          <w:b/>
          <w:rtl/>
        </w:rPr>
        <w:t>תנוח דעת</w:t>
      </w:r>
      <w:r>
        <w:rPr>
          <w:rFonts w:hint="cs"/>
          <w:b/>
          <w:rtl/>
        </w:rPr>
        <w:t>ו של המבקש</w:t>
      </w:r>
      <w:r w:rsidRPr="001044BF">
        <w:rPr>
          <w:b/>
          <w:rtl/>
        </w:rPr>
        <w:t>, בית</w:t>
      </w:r>
      <w:r w:rsidRPr="001044BF">
        <w:rPr>
          <w:b/>
        </w:rPr>
        <w:t xml:space="preserve"> </w:t>
      </w:r>
      <w:r w:rsidRPr="001044BF">
        <w:rPr>
          <w:b/>
          <w:rtl/>
        </w:rPr>
        <w:t>המשפט</w:t>
      </w:r>
      <w:r w:rsidRPr="001044BF">
        <w:rPr>
          <w:b/>
        </w:rPr>
        <w:t xml:space="preserve"> </w:t>
      </w:r>
      <w:r w:rsidRPr="001044BF">
        <w:rPr>
          <w:b/>
          <w:rtl/>
        </w:rPr>
        <w:t>ישמע</w:t>
      </w:r>
      <w:r w:rsidRPr="001044BF">
        <w:rPr>
          <w:b/>
        </w:rPr>
        <w:t xml:space="preserve"> </w:t>
      </w:r>
      <w:r w:rsidRPr="001044BF">
        <w:rPr>
          <w:b/>
          <w:rtl/>
        </w:rPr>
        <w:t>טיעוני</w:t>
      </w:r>
      <w:r>
        <w:rPr>
          <w:rFonts w:hint="cs"/>
          <w:b/>
          <w:rtl/>
        </w:rPr>
        <w:t xml:space="preserve"> הצדדים</w:t>
      </w:r>
      <w:r w:rsidRPr="001044BF">
        <w:rPr>
          <w:b/>
          <w:rtl/>
        </w:rPr>
        <w:t xml:space="preserve"> בלב פתוח ובנפש</w:t>
      </w:r>
      <w:r w:rsidRPr="001044BF">
        <w:rPr>
          <w:b/>
        </w:rPr>
        <w:t xml:space="preserve"> </w:t>
      </w:r>
      <w:r w:rsidRPr="001044BF">
        <w:rPr>
          <w:b/>
          <w:rtl/>
        </w:rPr>
        <w:t xml:space="preserve">חפצה, תוך קבלת החלטות ענייניות ותוך מתן תשומת לב מלאה, בפתיחות </w:t>
      </w:r>
      <w:r>
        <w:rPr>
          <w:rFonts w:hint="cs"/>
          <w:b/>
          <w:rtl/>
        </w:rPr>
        <w:t>ו</w:t>
      </w:r>
      <w:r w:rsidRPr="001044BF">
        <w:rPr>
          <w:b/>
          <w:rtl/>
        </w:rPr>
        <w:t xml:space="preserve">בהגינות, לאחר שקילת הדברים באופן </w:t>
      </w:r>
      <w:r w:rsidR="00C73911">
        <w:rPr>
          <w:rFonts w:hint="cs"/>
          <w:b/>
          <w:rtl/>
        </w:rPr>
        <w:t xml:space="preserve">ענייני </w:t>
      </w:r>
      <w:r>
        <w:rPr>
          <w:rFonts w:hint="cs"/>
          <w:b/>
          <w:rtl/>
        </w:rPr>
        <w:t>יסוד</w:t>
      </w:r>
      <w:r w:rsidRPr="001044BF">
        <w:rPr>
          <w:b/>
          <w:rtl/>
        </w:rPr>
        <w:t>י</w:t>
      </w:r>
      <w:r>
        <w:rPr>
          <w:rFonts w:hint="cs"/>
          <w:b/>
          <w:rtl/>
        </w:rPr>
        <w:t xml:space="preserve"> ומעמיק</w:t>
      </w:r>
      <w:r w:rsidRPr="001044BF">
        <w:rPr>
          <w:b/>
          <w:rtl/>
        </w:rPr>
        <w:t>.</w:t>
      </w:r>
    </w:p>
    <w:p w:rsidR="00B336BA" w:rsidRPr="00DE0F60" w:rsidRDefault="00B336BA" w:rsidP="00B336BA">
      <w:pPr>
        <w:rPr>
          <w:b/>
          <w:rtl/>
        </w:rPr>
      </w:pPr>
    </w:p>
    <w:p w:rsidR="00B336BA" w:rsidRDefault="00B336BA" w:rsidP="00B336BA">
      <w:pPr>
        <w:numPr>
          <w:ilvl w:val="0"/>
          <w:numId w:val="1"/>
        </w:numPr>
        <w:autoSpaceDE w:val="0"/>
        <w:autoSpaceDN w:val="0"/>
        <w:adjustRightInd w:val="0"/>
        <w:spacing w:before="100" w:after="100" w:line="360" w:lineRule="auto"/>
        <w:contextualSpacing/>
        <w:jc w:val="both"/>
        <w:rPr>
          <w:b/>
        </w:rPr>
      </w:pPr>
      <w:r>
        <w:rPr>
          <w:rFonts w:hint="cs"/>
          <w:b/>
          <w:rtl/>
        </w:rPr>
        <w:t>זאת ועוד, ב</w:t>
      </w:r>
      <w:r w:rsidRPr="001044BF">
        <w:rPr>
          <w:b/>
          <w:rtl/>
        </w:rPr>
        <w:t xml:space="preserve">הקשר זה יש לציין כי כבר נקבע בפסיקה ובספרות המשפטית, </w:t>
      </w:r>
      <w:r>
        <w:rPr>
          <w:rFonts w:hint="cs"/>
          <w:b/>
          <w:rtl/>
        </w:rPr>
        <w:t>ש</w:t>
      </w:r>
      <w:r w:rsidRPr="001044BF">
        <w:rPr>
          <w:b/>
          <w:rtl/>
        </w:rPr>
        <w:t>מעצם</w:t>
      </w:r>
      <w:r w:rsidRPr="001044BF">
        <w:rPr>
          <w:b/>
        </w:rPr>
        <w:t xml:space="preserve"> </w:t>
      </w:r>
      <w:r w:rsidRPr="001044BF">
        <w:rPr>
          <w:b/>
          <w:rtl/>
        </w:rPr>
        <w:t>היות</w:t>
      </w:r>
      <w:r w:rsidRPr="001044BF">
        <w:rPr>
          <w:b/>
        </w:rPr>
        <w:t xml:space="preserve"> </w:t>
      </w:r>
      <w:r w:rsidRPr="001044BF">
        <w:rPr>
          <w:b/>
          <w:rtl/>
        </w:rPr>
        <w:t>הבקשה</w:t>
      </w:r>
      <w:r w:rsidRPr="001044BF">
        <w:rPr>
          <w:b/>
        </w:rPr>
        <w:t xml:space="preserve"> </w:t>
      </w:r>
      <w:r w:rsidRPr="001044BF">
        <w:rPr>
          <w:b/>
          <w:rtl/>
        </w:rPr>
        <w:t>לפסילת</w:t>
      </w:r>
      <w:r w:rsidRPr="001044BF">
        <w:rPr>
          <w:b/>
        </w:rPr>
        <w:t xml:space="preserve"> </w:t>
      </w:r>
      <w:r w:rsidRPr="001044BF">
        <w:rPr>
          <w:b/>
          <w:rtl/>
        </w:rPr>
        <w:t>שופט</w:t>
      </w:r>
      <w:r w:rsidRPr="001044BF">
        <w:rPr>
          <w:b/>
        </w:rPr>
        <w:t xml:space="preserve"> </w:t>
      </w:r>
      <w:r w:rsidRPr="001044BF">
        <w:rPr>
          <w:b/>
          <w:rtl/>
        </w:rPr>
        <w:t>בקשה</w:t>
      </w:r>
      <w:r w:rsidRPr="001044BF">
        <w:rPr>
          <w:b/>
        </w:rPr>
        <w:t xml:space="preserve"> </w:t>
      </w:r>
      <w:r w:rsidRPr="001044BF">
        <w:rPr>
          <w:b/>
          <w:rtl/>
        </w:rPr>
        <w:t>רצינית, המטילה</w:t>
      </w:r>
      <w:r w:rsidRPr="001044BF">
        <w:rPr>
          <w:b/>
        </w:rPr>
        <w:t xml:space="preserve"> </w:t>
      </w:r>
      <w:r w:rsidRPr="001044BF">
        <w:rPr>
          <w:b/>
          <w:rtl/>
        </w:rPr>
        <w:t>צל</w:t>
      </w:r>
      <w:r w:rsidRPr="001044BF">
        <w:rPr>
          <w:b/>
        </w:rPr>
        <w:t xml:space="preserve"> </w:t>
      </w:r>
      <w:r w:rsidRPr="001044BF">
        <w:rPr>
          <w:b/>
          <w:rtl/>
        </w:rPr>
        <w:t>כבד</w:t>
      </w:r>
      <w:r w:rsidRPr="001044BF">
        <w:rPr>
          <w:b/>
        </w:rPr>
        <w:t xml:space="preserve"> </w:t>
      </w:r>
      <w:r w:rsidRPr="001044BF">
        <w:rPr>
          <w:b/>
          <w:rtl/>
        </w:rPr>
        <w:t>על</w:t>
      </w:r>
      <w:r w:rsidRPr="001044BF">
        <w:rPr>
          <w:b/>
        </w:rPr>
        <w:t xml:space="preserve"> </w:t>
      </w:r>
      <w:r w:rsidRPr="001044BF">
        <w:rPr>
          <w:b/>
          <w:rtl/>
        </w:rPr>
        <w:t>השופט</w:t>
      </w:r>
      <w:r>
        <w:rPr>
          <w:rFonts w:hint="cs"/>
          <w:b/>
          <w:rtl/>
        </w:rPr>
        <w:t xml:space="preserve"> באופן </w:t>
      </w:r>
      <w:r w:rsidRPr="001044BF">
        <w:rPr>
          <w:b/>
          <w:rtl/>
        </w:rPr>
        <w:t>אישי</w:t>
      </w:r>
      <w:r w:rsidRPr="001044BF">
        <w:rPr>
          <w:b/>
        </w:rPr>
        <w:t xml:space="preserve"> </w:t>
      </w:r>
      <w:r w:rsidRPr="001044BF">
        <w:rPr>
          <w:b/>
          <w:rtl/>
        </w:rPr>
        <w:t>ועל</w:t>
      </w:r>
      <w:r w:rsidRPr="001044BF">
        <w:rPr>
          <w:b/>
        </w:rPr>
        <w:t xml:space="preserve"> </w:t>
      </w:r>
      <w:r w:rsidRPr="001044BF">
        <w:rPr>
          <w:b/>
          <w:rtl/>
        </w:rPr>
        <w:t>מערכת</w:t>
      </w:r>
      <w:r w:rsidRPr="001044BF">
        <w:rPr>
          <w:b/>
        </w:rPr>
        <w:t xml:space="preserve"> </w:t>
      </w:r>
      <w:r w:rsidRPr="001044BF">
        <w:rPr>
          <w:b/>
          <w:rtl/>
        </w:rPr>
        <w:t>השפיטה</w:t>
      </w:r>
      <w:r>
        <w:rPr>
          <w:rFonts w:hint="cs"/>
          <w:b/>
          <w:rtl/>
        </w:rPr>
        <w:t xml:space="preserve"> בכללה</w:t>
      </w:r>
      <w:r w:rsidRPr="001044BF">
        <w:rPr>
          <w:b/>
          <w:rtl/>
        </w:rPr>
        <w:t xml:space="preserve">, </w:t>
      </w:r>
      <w:r>
        <w:rPr>
          <w:rFonts w:hint="cs"/>
          <w:b/>
          <w:rtl/>
        </w:rPr>
        <w:t xml:space="preserve">הרי שמכך </w:t>
      </w:r>
      <w:r w:rsidRPr="001044BF">
        <w:rPr>
          <w:b/>
          <w:rtl/>
        </w:rPr>
        <w:t>נגזרת</w:t>
      </w:r>
      <w:r w:rsidRPr="001044BF">
        <w:rPr>
          <w:b/>
        </w:rPr>
        <w:t xml:space="preserve"> </w:t>
      </w:r>
      <w:r w:rsidRPr="001044BF">
        <w:rPr>
          <w:b/>
          <w:rtl/>
        </w:rPr>
        <w:t>גם</w:t>
      </w:r>
      <w:r w:rsidRPr="001044BF">
        <w:rPr>
          <w:b/>
        </w:rPr>
        <w:t xml:space="preserve"> </w:t>
      </w:r>
      <w:r w:rsidRPr="001044BF">
        <w:rPr>
          <w:b/>
          <w:rtl/>
        </w:rPr>
        <w:t>מסקנה</w:t>
      </w:r>
      <w:r w:rsidRPr="001044BF">
        <w:rPr>
          <w:b/>
        </w:rPr>
        <w:t xml:space="preserve"> </w:t>
      </w:r>
      <w:r w:rsidRPr="001044BF">
        <w:rPr>
          <w:b/>
          <w:rtl/>
        </w:rPr>
        <w:t>באשר</w:t>
      </w:r>
      <w:r w:rsidRPr="001044BF">
        <w:rPr>
          <w:b/>
        </w:rPr>
        <w:t xml:space="preserve"> </w:t>
      </w:r>
      <w:r w:rsidRPr="001044BF">
        <w:rPr>
          <w:b/>
          <w:rtl/>
        </w:rPr>
        <w:t>לטיב</w:t>
      </w:r>
      <w:r w:rsidRPr="001044BF">
        <w:rPr>
          <w:b/>
        </w:rPr>
        <w:t xml:space="preserve"> </w:t>
      </w:r>
      <w:r>
        <w:rPr>
          <w:b/>
        </w:rPr>
        <w:t xml:space="preserve"> </w:t>
      </w:r>
      <w:r>
        <w:rPr>
          <w:rFonts w:hint="cs"/>
          <w:b/>
          <w:rtl/>
        </w:rPr>
        <w:t xml:space="preserve"> וחוזק </w:t>
      </w:r>
      <w:r w:rsidRPr="001044BF">
        <w:rPr>
          <w:b/>
          <w:rtl/>
        </w:rPr>
        <w:t>הראיות</w:t>
      </w:r>
      <w:r w:rsidRPr="001044BF">
        <w:rPr>
          <w:b/>
        </w:rPr>
        <w:t xml:space="preserve"> </w:t>
      </w:r>
      <w:r w:rsidRPr="001044BF">
        <w:rPr>
          <w:b/>
          <w:rtl/>
        </w:rPr>
        <w:t>שאותן</w:t>
      </w:r>
      <w:r w:rsidRPr="001044BF">
        <w:rPr>
          <w:b/>
        </w:rPr>
        <w:t xml:space="preserve"> </w:t>
      </w:r>
      <w:r w:rsidRPr="001044BF">
        <w:rPr>
          <w:b/>
          <w:rtl/>
        </w:rPr>
        <w:t>ראוי</w:t>
      </w:r>
      <w:r w:rsidRPr="001044BF">
        <w:rPr>
          <w:b/>
        </w:rPr>
        <w:t xml:space="preserve"> </w:t>
      </w:r>
      <w:r w:rsidRPr="001044BF">
        <w:rPr>
          <w:b/>
          <w:rtl/>
        </w:rPr>
        <w:t>להביא</w:t>
      </w:r>
      <w:r w:rsidRPr="001044BF">
        <w:rPr>
          <w:b/>
        </w:rPr>
        <w:t xml:space="preserve"> </w:t>
      </w:r>
      <w:r w:rsidRPr="001044BF">
        <w:rPr>
          <w:b/>
          <w:rtl/>
        </w:rPr>
        <w:t>בבקשת</w:t>
      </w:r>
      <w:r w:rsidRPr="001044BF">
        <w:rPr>
          <w:b/>
        </w:rPr>
        <w:t xml:space="preserve"> </w:t>
      </w:r>
      <w:r w:rsidRPr="001044BF">
        <w:rPr>
          <w:b/>
          <w:rtl/>
        </w:rPr>
        <w:t xml:space="preserve">הפסלות. </w:t>
      </w:r>
      <w:r>
        <w:rPr>
          <w:rFonts w:hint="cs"/>
          <w:b/>
          <w:rtl/>
        </w:rPr>
        <w:t xml:space="preserve"> </w:t>
      </w:r>
    </w:p>
    <w:p w:rsidR="00B336BA" w:rsidRPr="00DE0F60" w:rsidRDefault="00B336BA" w:rsidP="00B336BA">
      <w:pPr>
        <w:rPr>
          <w:b/>
          <w:rtl/>
        </w:rPr>
      </w:pPr>
    </w:p>
    <w:p w:rsidR="00B336BA" w:rsidRDefault="00B336BA" w:rsidP="00B336BA">
      <w:pPr>
        <w:numPr>
          <w:ilvl w:val="0"/>
          <w:numId w:val="1"/>
        </w:numPr>
        <w:autoSpaceDE w:val="0"/>
        <w:autoSpaceDN w:val="0"/>
        <w:adjustRightInd w:val="0"/>
        <w:spacing w:before="100" w:after="100" w:line="360" w:lineRule="auto"/>
        <w:contextualSpacing/>
        <w:jc w:val="both"/>
        <w:rPr>
          <w:b/>
        </w:rPr>
      </w:pPr>
      <w:r>
        <w:rPr>
          <w:rFonts w:hint="cs"/>
          <w:b/>
          <w:rtl/>
        </w:rPr>
        <w:t>מכך, נפסק</w:t>
      </w:r>
      <w:r w:rsidRPr="001044BF">
        <w:rPr>
          <w:b/>
          <w:rtl/>
        </w:rPr>
        <w:t xml:space="preserve"> </w:t>
      </w:r>
      <w:r>
        <w:rPr>
          <w:rFonts w:hint="cs"/>
          <w:b/>
          <w:rtl/>
        </w:rPr>
        <w:t>ש</w:t>
      </w:r>
      <w:r w:rsidRPr="001044BF">
        <w:rPr>
          <w:b/>
          <w:rtl/>
        </w:rPr>
        <w:t>הראיות</w:t>
      </w:r>
      <w:r w:rsidRPr="001044BF">
        <w:rPr>
          <w:b/>
        </w:rPr>
        <w:t xml:space="preserve"> </w:t>
      </w:r>
      <w:r w:rsidRPr="001044BF">
        <w:rPr>
          <w:b/>
          <w:rtl/>
        </w:rPr>
        <w:t>שיש</w:t>
      </w:r>
      <w:r w:rsidRPr="001044BF">
        <w:rPr>
          <w:b/>
        </w:rPr>
        <w:t xml:space="preserve"> </w:t>
      </w:r>
      <w:r w:rsidRPr="001044BF">
        <w:rPr>
          <w:b/>
          <w:rtl/>
        </w:rPr>
        <w:t>להביא</w:t>
      </w:r>
      <w:r w:rsidRPr="001044BF">
        <w:rPr>
          <w:b/>
        </w:rPr>
        <w:t xml:space="preserve"> </w:t>
      </w:r>
      <w:r w:rsidRPr="001044BF">
        <w:rPr>
          <w:b/>
          <w:rtl/>
        </w:rPr>
        <w:t>לשם</w:t>
      </w:r>
      <w:r w:rsidRPr="001044BF">
        <w:rPr>
          <w:b/>
        </w:rPr>
        <w:t xml:space="preserve"> </w:t>
      </w:r>
      <w:r w:rsidRPr="001044BF">
        <w:rPr>
          <w:b/>
          <w:rtl/>
        </w:rPr>
        <w:t>הוכחת</w:t>
      </w:r>
      <w:r w:rsidRPr="001044BF">
        <w:rPr>
          <w:b/>
        </w:rPr>
        <w:t xml:space="preserve"> </w:t>
      </w:r>
      <w:r w:rsidRPr="001044BF">
        <w:rPr>
          <w:b/>
          <w:rtl/>
        </w:rPr>
        <w:t>קיומה</w:t>
      </w:r>
      <w:r w:rsidRPr="001044BF">
        <w:rPr>
          <w:b/>
        </w:rPr>
        <w:t xml:space="preserve"> </w:t>
      </w:r>
      <w:r w:rsidRPr="001044BF">
        <w:rPr>
          <w:b/>
          <w:rtl/>
        </w:rPr>
        <w:t>של</w:t>
      </w:r>
      <w:r w:rsidRPr="001044BF">
        <w:rPr>
          <w:b/>
        </w:rPr>
        <w:t xml:space="preserve"> </w:t>
      </w:r>
      <w:r w:rsidRPr="001044BF">
        <w:rPr>
          <w:b/>
          <w:rtl/>
        </w:rPr>
        <w:t>עילת</w:t>
      </w:r>
      <w:r w:rsidRPr="001044BF">
        <w:rPr>
          <w:b/>
        </w:rPr>
        <w:t xml:space="preserve"> </w:t>
      </w:r>
      <w:r w:rsidRPr="001044BF">
        <w:rPr>
          <w:b/>
          <w:rtl/>
        </w:rPr>
        <w:t>פסלות</w:t>
      </w:r>
      <w:r w:rsidRPr="001044BF">
        <w:rPr>
          <w:b/>
        </w:rPr>
        <w:t xml:space="preserve"> </w:t>
      </w:r>
      <w:r w:rsidRPr="001044BF">
        <w:rPr>
          <w:b/>
          <w:rtl/>
        </w:rPr>
        <w:t>חייבות</w:t>
      </w:r>
      <w:r w:rsidRPr="001044BF">
        <w:rPr>
          <w:b/>
        </w:rPr>
        <w:t xml:space="preserve"> </w:t>
      </w:r>
      <w:r w:rsidRPr="001044BF">
        <w:rPr>
          <w:b/>
          <w:rtl/>
        </w:rPr>
        <w:t>להיות</w:t>
      </w:r>
      <w:r w:rsidRPr="001044BF">
        <w:rPr>
          <w:b/>
        </w:rPr>
        <w:t xml:space="preserve"> </w:t>
      </w:r>
      <w:r w:rsidRPr="001044BF">
        <w:rPr>
          <w:b/>
          <w:rtl/>
        </w:rPr>
        <w:t>משמעותיות, ואין להסתפק בחשדות, תחושות או השערות הנעדרים כל בסיס עובדתי (יגאל</w:t>
      </w:r>
      <w:r w:rsidRPr="001044BF">
        <w:rPr>
          <w:b/>
        </w:rPr>
        <w:t xml:space="preserve"> </w:t>
      </w:r>
      <w:r w:rsidRPr="001044BF">
        <w:rPr>
          <w:b/>
          <w:rtl/>
        </w:rPr>
        <w:t>מרזל, "דיני</w:t>
      </w:r>
      <w:r w:rsidRPr="001044BF">
        <w:rPr>
          <w:b/>
        </w:rPr>
        <w:t xml:space="preserve"> </w:t>
      </w:r>
      <w:r w:rsidRPr="001044BF">
        <w:rPr>
          <w:b/>
          <w:rtl/>
        </w:rPr>
        <w:t>פסלות</w:t>
      </w:r>
      <w:r w:rsidRPr="001044BF">
        <w:rPr>
          <w:b/>
        </w:rPr>
        <w:t xml:space="preserve"> </w:t>
      </w:r>
      <w:r w:rsidRPr="001044BF">
        <w:rPr>
          <w:b/>
          <w:rtl/>
        </w:rPr>
        <w:t xml:space="preserve">שופט", תשס"ו 2006(4), </w:t>
      </w:r>
      <w:r>
        <w:rPr>
          <w:rFonts w:hint="cs"/>
          <w:b/>
          <w:rtl/>
        </w:rPr>
        <w:t>ו</w:t>
      </w:r>
      <w:r w:rsidRPr="001044BF">
        <w:rPr>
          <w:b/>
          <w:rtl/>
        </w:rPr>
        <w:t xml:space="preserve">עוד ראה בהקשר זה ע"א 3863/04 </w:t>
      </w:r>
      <w:r w:rsidRPr="001044BF">
        <w:rPr>
          <w:bCs/>
          <w:rtl/>
        </w:rPr>
        <w:t>הג'ונגל של אלי (1998) פרדסיה בע"מ נ' מנהל מקרקעי ישראל</w:t>
      </w:r>
      <w:r w:rsidRPr="001044BF">
        <w:rPr>
          <w:b/>
          <w:rtl/>
        </w:rPr>
        <w:t>).</w:t>
      </w:r>
    </w:p>
    <w:p w:rsidR="00B336BA" w:rsidRPr="00DE0F60" w:rsidRDefault="00B336BA" w:rsidP="00B336BA">
      <w:pPr>
        <w:rPr>
          <w:b/>
          <w:rtl/>
        </w:rPr>
      </w:pPr>
    </w:p>
    <w:p w:rsidR="00B336BA" w:rsidRDefault="00B336BA" w:rsidP="00C73911">
      <w:pPr>
        <w:numPr>
          <w:ilvl w:val="0"/>
          <w:numId w:val="1"/>
        </w:numPr>
        <w:autoSpaceDE w:val="0"/>
        <w:autoSpaceDN w:val="0"/>
        <w:adjustRightInd w:val="0"/>
        <w:spacing w:before="100" w:after="100" w:line="360" w:lineRule="auto"/>
        <w:contextualSpacing/>
        <w:jc w:val="both"/>
        <w:rPr>
          <w:b/>
        </w:rPr>
      </w:pPr>
      <w:r>
        <w:rPr>
          <w:rFonts w:hint="cs"/>
          <w:b/>
          <w:rtl/>
        </w:rPr>
        <w:t xml:space="preserve">בקשתו של המבקש אינה מגלה לדעתי דבר מכל אלו. </w:t>
      </w:r>
      <w:r w:rsidRPr="00DE0F60">
        <w:rPr>
          <w:rFonts w:hint="cs"/>
          <w:b/>
          <w:rtl/>
        </w:rPr>
        <w:t xml:space="preserve">בנסיבות העניין, </w:t>
      </w:r>
      <w:r w:rsidRPr="00DE0F60">
        <w:rPr>
          <w:b/>
          <w:rtl/>
        </w:rPr>
        <w:t>סבורה</w:t>
      </w:r>
      <w:r w:rsidRPr="00DE0F60">
        <w:rPr>
          <w:rFonts w:hint="cs"/>
          <w:b/>
          <w:rtl/>
        </w:rPr>
        <w:t xml:space="preserve"> אני</w:t>
      </w:r>
      <w:r w:rsidRPr="00DE0F60">
        <w:rPr>
          <w:b/>
          <w:rtl/>
        </w:rPr>
        <w:t xml:space="preserve"> כי </w:t>
      </w:r>
      <w:r w:rsidRPr="00DE0F60">
        <w:rPr>
          <w:rFonts w:hint="cs"/>
          <w:b/>
          <w:rtl/>
        </w:rPr>
        <w:t>יש ו</w:t>
      </w:r>
      <w:r w:rsidRPr="00DE0F60">
        <w:rPr>
          <w:b/>
          <w:rtl/>
        </w:rPr>
        <w:t>בקשת</w:t>
      </w:r>
      <w:r w:rsidRPr="00DE0F60">
        <w:rPr>
          <w:b/>
        </w:rPr>
        <w:t xml:space="preserve"> </w:t>
      </w:r>
      <w:r w:rsidRPr="00DE0F60">
        <w:rPr>
          <w:b/>
          <w:rtl/>
        </w:rPr>
        <w:t>הפסילה</w:t>
      </w:r>
      <w:r w:rsidRPr="00DE0F60">
        <w:rPr>
          <w:b/>
        </w:rPr>
        <w:t xml:space="preserve"> </w:t>
      </w:r>
      <w:r>
        <w:rPr>
          <w:rFonts w:hint="cs"/>
          <w:b/>
          <w:rtl/>
        </w:rPr>
        <w:t xml:space="preserve">בהליך זה </w:t>
      </w:r>
      <w:r w:rsidRPr="00DE0F60">
        <w:rPr>
          <w:b/>
          <w:rtl/>
        </w:rPr>
        <w:t>נובעת</w:t>
      </w:r>
      <w:r w:rsidRPr="00DE0F60">
        <w:rPr>
          <w:b/>
        </w:rPr>
        <w:t xml:space="preserve"> </w:t>
      </w:r>
      <w:r w:rsidRPr="00DE0F60">
        <w:rPr>
          <w:b/>
          <w:rtl/>
        </w:rPr>
        <w:t>בעיקרה</w:t>
      </w:r>
      <w:r w:rsidRPr="00DE0F60">
        <w:rPr>
          <w:b/>
        </w:rPr>
        <w:t xml:space="preserve"> </w:t>
      </w:r>
      <w:r w:rsidRPr="00DE0F60">
        <w:rPr>
          <w:b/>
          <w:rtl/>
        </w:rPr>
        <w:t>מחוסר</w:t>
      </w:r>
      <w:r w:rsidRPr="00DE0F60">
        <w:rPr>
          <w:b/>
        </w:rPr>
        <w:t xml:space="preserve"> </w:t>
      </w:r>
      <w:r w:rsidRPr="00DE0F60">
        <w:rPr>
          <w:b/>
          <w:rtl/>
        </w:rPr>
        <w:t>שביעות</w:t>
      </w:r>
      <w:r w:rsidRPr="00DE0F60">
        <w:rPr>
          <w:b/>
        </w:rPr>
        <w:t xml:space="preserve"> </w:t>
      </w:r>
      <w:r w:rsidRPr="00DE0F60">
        <w:rPr>
          <w:b/>
          <w:rtl/>
        </w:rPr>
        <w:t>רצונ</w:t>
      </w:r>
      <w:r w:rsidRPr="00DE0F60">
        <w:rPr>
          <w:rFonts w:hint="cs"/>
          <w:b/>
          <w:rtl/>
        </w:rPr>
        <w:t>ו</w:t>
      </w:r>
      <w:r w:rsidRPr="00DE0F60">
        <w:rPr>
          <w:b/>
          <w:rtl/>
        </w:rPr>
        <w:t xml:space="preserve"> של המבקש מהחלטות</w:t>
      </w:r>
      <w:r w:rsidRPr="00DE0F60">
        <w:rPr>
          <w:b/>
        </w:rPr>
        <w:t xml:space="preserve"> </w:t>
      </w:r>
      <w:r w:rsidRPr="00DE0F60">
        <w:rPr>
          <w:b/>
          <w:rtl/>
        </w:rPr>
        <w:t xml:space="preserve">שנתקבלו </w:t>
      </w:r>
      <w:r w:rsidRPr="00DE0F60">
        <w:rPr>
          <w:rFonts w:hint="cs"/>
          <w:b/>
          <w:rtl/>
        </w:rPr>
        <w:t xml:space="preserve">עד כה </w:t>
      </w:r>
      <w:r w:rsidRPr="00DE0F60">
        <w:rPr>
          <w:b/>
          <w:rtl/>
        </w:rPr>
        <w:t>על ידי בית</w:t>
      </w:r>
      <w:r w:rsidRPr="00DE0F60">
        <w:rPr>
          <w:b/>
        </w:rPr>
        <w:t xml:space="preserve"> </w:t>
      </w:r>
      <w:r w:rsidRPr="00DE0F60">
        <w:rPr>
          <w:b/>
          <w:rtl/>
        </w:rPr>
        <w:t>המשפט</w:t>
      </w:r>
      <w:r w:rsidRPr="00DE0F60">
        <w:rPr>
          <w:rFonts w:hint="cs"/>
          <w:b/>
          <w:rtl/>
        </w:rPr>
        <w:t xml:space="preserve"> </w:t>
      </w:r>
      <w:r>
        <w:rPr>
          <w:rFonts w:hint="cs"/>
          <w:b/>
          <w:rtl/>
        </w:rPr>
        <w:t xml:space="preserve">ובפרט בהחלטה מיום 27.5.24 </w:t>
      </w:r>
      <w:r w:rsidRPr="00DE0F60">
        <w:rPr>
          <w:rFonts w:hint="cs"/>
          <w:b/>
          <w:rtl/>
        </w:rPr>
        <w:t>בהליך ה</w:t>
      </w:r>
      <w:r>
        <w:rPr>
          <w:rFonts w:hint="cs"/>
          <w:b/>
          <w:rtl/>
        </w:rPr>
        <w:t xml:space="preserve">ערעור על החלטת </w:t>
      </w:r>
      <w:r w:rsidR="00C73911">
        <w:rPr>
          <w:rFonts w:hint="cs"/>
          <w:b/>
          <w:rtl/>
        </w:rPr>
        <w:t xml:space="preserve">כב' </w:t>
      </w:r>
      <w:r>
        <w:rPr>
          <w:rFonts w:hint="cs"/>
          <w:b/>
          <w:rtl/>
        </w:rPr>
        <w:t>הרש</w:t>
      </w:r>
      <w:r w:rsidR="00C73911">
        <w:rPr>
          <w:rFonts w:hint="cs"/>
          <w:b/>
          <w:rtl/>
        </w:rPr>
        <w:t>מת</w:t>
      </w:r>
      <w:r w:rsidRPr="00DE0F60">
        <w:rPr>
          <w:rFonts w:hint="cs"/>
          <w:b/>
          <w:rtl/>
        </w:rPr>
        <w:t xml:space="preserve"> לעניין חיובו של המבקש ב</w:t>
      </w:r>
      <w:r>
        <w:rPr>
          <w:rFonts w:hint="cs"/>
          <w:b/>
          <w:rtl/>
        </w:rPr>
        <w:t xml:space="preserve">תשלום מחצית </w:t>
      </w:r>
      <w:r w:rsidRPr="00DE0F60">
        <w:rPr>
          <w:rFonts w:hint="cs"/>
          <w:b/>
          <w:rtl/>
        </w:rPr>
        <w:t>הוצאות</w:t>
      </w:r>
      <w:r>
        <w:rPr>
          <w:rFonts w:hint="cs"/>
          <w:b/>
          <w:rtl/>
        </w:rPr>
        <w:t xml:space="preserve"> רפואיות של </w:t>
      </w:r>
      <w:r w:rsidR="00FE1874">
        <w:rPr>
          <w:rFonts w:hint="cs"/>
          <w:b/>
        </w:rPr>
        <w:t>XX</w:t>
      </w:r>
      <w:r>
        <w:rPr>
          <w:rFonts w:hint="cs"/>
          <w:b/>
          <w:rtl/>
        </w:rPr>
        <w:t xml:space="preserve"> למשיבה</w:t>
      </w:r>
      <w:r w:rsidRPr="00DE0F60">
        <w:rPr>
          <w:rFonts w:hint="cs"/>
          <w:b/>
          <w:rtl/>
        </w:rPr>
        <w:t>.</w:t>
      </w:r>
      <w:r>
        <w:rPr>
          <w:rFonts w:hint="cs"/>
          <w:b/>
          <w:rtl/>
        </w:rPr>
        <w:t xml:space="preserve"> </w:t>
      </w:r>
    </w:p>
    <w:p w:rsidR="00B336BA" w:rsidRPr="00E36884" w:rsidRDefault="00B336BA" w:rsidP="00B336BA">
      <w:pPr>
        <w:rPr>
          <w:b/>
          <w:rtl/>
        </w:rPr>
      </w:pPr>
    </w:p>
    <w:p w:rsidR="00B336BA" w:rsidRPr="006545E6" w:rsidRDefault="00B336BA" w:rsidP="00B336BA">
      <w:pPr>
        <w:pStyle w:val="ad"/>
        <w:numPr>
          <w:ilvl w:val="0"/>
          <w:numId w:val="1"/>
        </w:numPr>
        <w:overflowPunct w:val="0"/>
        <w:autoSpaceDE w:val="0"/>
        <w:autoSpaceDN w:val="0"/>
        <w:spacing w:line="360" w:lineRule="auto"/>
        <w:jc w:val="both"/>
        <w:rPr>
          <w:rFonts w:ascii="David" w:hAnsi="David"/>
          <w:noProof w:val="0"/>
          <w:spacing w:val="10"/>
          <w:rtl/>
        </w:rPr>
      </w:pPr>
      <w:r w:rsidRPr="006545E6">
        <w:rPr>
          <w:rFonts w:ascii="David" w:hAnsi="David" w:hint="cs"/>
          <w:noProof w:val="0"/>
          <w:spacing w:val="10"/>
          <w:rtl/>
        </w:rPr>
        <w:t xml:space="preserve">משכך לא מצאתי להיעתר לבקשה </w:t>
      </w:r>
      <w:r>
        <w:rPr>
          <w:rFonts w:ascii="David" w:hAnsi="David" w:hint="cs"/>
          <w:noProof w:val="0"/>
          <w:spacing w:val="10"/>
          <w:rtl/>
        </w:rPr>
        <w:t>ודין הבקשה להידחות, התובענה תתברר בפניי.</w:t>
      </w:r>
    </w:p>
    <w:p w:rsidR="00B336BA" w:rsidRPr="006545E6" w:rsidRDefault="00B336BA" w:rsidP="00B336BA">
      <w:pPr>
        <w:overflowPunct w:val="0"/>
        <w:autoSpaceDE w:val="0"/>
        <w:autoSpaceDN w:val="0"/>
        <w:spacing w:line="360" w:lineRule="auto"/>
        <w:jc w:val="both"/>
        <w:rPr>
          <w:rFonts w:ascii="David" w:hAnsi="David"/>
          <w:noProof w:val="0"/>
          <w:spacing w:val="10"/>
          <w:rtl/>
        </w:rPr>
      </w:pPr>
    </w:p>
    <w:p w:rsidR="00B336BA" w:rsidRPr="00021615" w:rsidRDefault="00C73911" w:rsidP="004E539F">
      <w:pPr>
        <w:pStyle w:val="ad"/>
        <w:numPr>
          <w:ilvl w:val="0"/>
          <w:numId w:val="1"/>
        </w:numPr>
        <w:overflowPunct w:val="0"/>
        <w:autoSpaceDE w:val="0"/>
        <w:autoSpaceDN w:val="0"/>
        <w:spacing w:line="360" w:lineRule="auto"/>
        <w:jc w:val="both"/>
        <w:rPr>
          <w:rFonts w:ascii="David" w:hAnsi="David"/>
          <w:noProof w:val="0"/>
          <w:spacing w:val="10"/>
          <w:rtl/>
        </w:rPr>
      </w:pPr>
      <w:r w:rsidRPr="00021615">
        <w:rPr>
          <w:rFonts w:ascii="David" w:hAnsi="David" w:hint="cs"/>
          <w:noProof w:val="0"/>
          <w:spacing w:val="10"/>
          <w:rtl/>
        </w:rPr>
        <w:t>משנדחתה ה</w:t>
      </w:r>
      <w:r w:rsidR="0018772C" w:rsidRPr="00021615">
        <w:rPr>
          <w:rFonts w:ascii="David" w:hAnsi="David" w:hint="cs"/>
          <w:noProof w:val="0"/>
          <w:spacing w:val="10"/>
          <w:rtl/>
        </w:rPr>
        <w:t xml:space="preserve">בקשה מצאתי לחייב את המבקש בהוצאות בסך </w:t>
      </w:r>
      <w:r w:rsidR="004E539F">
        <w:rPr>
          <w:rFonts w:ascii="David" w:hAnsi="David" w:hint="cs"/>
          <w:noProof w:val="0"/>
          <w:spacing w:val="10"/>
          <w:rtl/>
        </w:rPr>
        <w:t>2,500</w:t>
      </w:r>
      <w:r w:rsidR="0018772C" w:rsidRPr="00021615">
        <w:rPr>
          <w:rFonts w:ascii="David" w:hAnsi="David" w:hint="cs"/>
          <w:noProof w:val="0"/>
          <w:spacing w:val="10"/>
          <w:rtl/>
        </w:rPr>
        <w:t xml:space="preserve"> ₪ אשר ישולמו לידי המשיבה בתוך 21 יום.</w:t>
      </w:r>
    </w:p>
    <w:p w:rsidR="00B336BA" w:rsidRPr="00021615" w:rsidRDefault="00B336BA" w:rsidP="00B336BA">
      <w:pPr>
        <w:spacing w:after="160" w:line="259" w:lineRule="auto"/>
        <w:jc w:val="both"/>
        <w:rPr>
          <w:rFonts w:ascii="David" w:hAnsi="David"/>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יוני 2024</w:t>
          </w:r>
        </w:sdtContent>
      </w:sdt>
      <w:r w:rsidR="00005C8B">
        <w:rPr>
          <w:rFonts w:ascii="Arial" w:hAnsi="Arial"/>
          <w:noProof w:val="0"/>
          <w:rtl/>
        </w:rPr>
        <w:t>, בהעדר הצדדים.</w:t>
      </w:r>
    </w:p>
    <w:p w:rsidR="00C43648" w:rsidRDefault="000A7BA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74570858"/>
        </w:sdtPr>
        <w:sdtEndPr/>
        <w:sdtContent>
          <w:r w:rsidR="005A1F3B">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5"/>
      <w:footerReference w:type="defaul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BAA" w:rsidRDefault="000A7BAA">
      <w:r>
        <w:separator/>
      </w:r>
    </w:p>
  </w:endnote>
  <w:endnote w:type="continuationSeparator" w:id="0">
    <w:p w:rsidR="000A7BAA" w:rsidRDefault="000A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D791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D7911">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BAA" w:rsidRDefault="000A7BAA">
      <w:r>
        <w:separator/>
      </w:r>
    </w:p>
  </w:footnote>
  <w:footnote w:type="continuationSeparator" w:id="0">
    <w:p w:rsidR="000A7BAA" w:rsidRDefault="000A7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A7BAA" w:rsidP="00DC6F18">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62463-02-24</w:t>
              </w:r>
            </w:sdtContent>
          </w:sdt>
          <w:r w:rsidR="00005C8B">
            <w:rPr>
              <w:b/>
              <w:bCs/>
              <w:noProof w:val="0"/>
              <w:sz w:val="26"/>
              <w:szCs w:val="26"/>
              <w:rtl/>
            </w:rPr>
            <w:t xml:space="preserve"> </w:t>
          </w:r>
          <w:sdt>
            <w:sdtPr>
              <w:rPr>
                <w:rtl/>
              </w:rPr>
              <w:alias w:val="1172"/>
              <w:tag w:val="1172"/>
              <w:id w:val="-595170033"/>
              <w:text w:multiLine="1"/>
            </w:sdtPr>
            <w:sdtEndPr/>
            <w:sdtContent>
              <w:r w:rsidR="00DC6F18">
                <w:rPr>
                  <w:rFonts w:hint="cs"/>
                  <w:b/>
                  <w:bCs/>
                  <w:noProof w:val="0"/>
                  <w:sz w:val="26"/>
                  <w:szCs w:val="26"/>
                  <w:rtl/>
                </w:rPr>
                <w:t xml:space="preserve"> א'</w:t>
              </w:r>
              <w:r w:rsidR="00064651">
                <w:rPr>
                  <w:b/>
                  <w:bCs/>
                  <w:noProof w:val="0"/>
                  <w:sz w:val="26"/>
                  <w:szCs w:val="26"/>
                  <w:rtl/>
                </w:rPr>
                <w:t xml:space="preserve"> נ' </w:t>
              </w:r>
              <w:r w:rsidR="00DC6F18">
                <w:rPr>
                  <w:rFonts w:hint="cs"/>
                  <w:b/>
                  <w:bCs/>
                  <w:noProof w:val="0"/>
                  <w:sz w:val="26"/>
                  <w:szCs w:val="26"/>
                  <w:rtl/>
                </w:rPr>
                <w:t>ב' א'</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6A78"/>
    <w:multiLevelType w:val="hybridMultilevel"/>
    <w:tmpl w:val="1DACD3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281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28169&amp;lt;/CaseID&amp;gt;_x000d__x000a_        &amp;lt;CaseMonth&amp;gt;2&amp;lt;/CaseMonth&amp;gt;_x000d__x000a_        &amp;lt;CaseYear&amp;gt;2024&amp;lt;/CaseYear&amp;gt;_x000d__x000a_        &amp;lt;CaseNumber&amp;gt;62463&amp;lt;/CaseNumber&amp;gt;_x000d__x000a_        &amp;lt;NumeratorGroupID&amp;gt;1&amp;lt;/NumeratorGroupID&amp;gt;_x000d__x000a_        &amp;lt;CaseName&amp;gt;אזוריאל נ&amp;#39; דרור אזוריאל&amp;lt;/CaseName&amp;gt;_x000d__x000a_        &amp;lt;CourtID&amp;gt;35&amp;lt;/CourtID&amp;gt;_x000d__x000a_        &amp;lt;CaseTypeID&amp;gt;10262&amp;lt;/CaseTypeID&amp;gt;_x000d__x000a_        &amp;lt;CaseInterestID&amp;gt;10118&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463-02-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2-28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28169&amp;lt;/CaseID&amp;gt;_x000d__x000a_        &amp;lt;CaseMonth&amp;gt;2&amp;lt;/CaseMonth&amp;gt;_x000d__x000a_        &amp;lt;CaseYear&amp;gt;2024&amp;lt;/CaseYear&amp;gt;_x000d__x000a_        &amp;lt;CaseNumber&amp;gt;62463&amp;lt;/CaseNumber&amp;gt;_x000d__x000a_        &amp;lt;NumeratorGroupID&amp;gt;1&amp;lt;/NumeratorGroupID&amp;gt;_x000d__x000a_        &amp;lt;CaseName&amp;gt;אזוריאל נ&amp;#39; דרור אזוריאל&amp;lt;/CaseName&amp;gt;_x000d__x000a_        &amp;lt;CourtID&amp;gt;35&amp;lt;/CourtID&amp;gt;_x000d__x000a_        &amp;lt;CaseTypeID&amp;gt;10262&amp;lt;/CaseTypeID&amp;gt;_x000d__x000a_        &amp;lt;CaseInterestID&amp;gt;10118&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463-02-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0&amp;lt;/CaseNextDeterminingTask&amp;gt;_x000d__x000a_        &amp;lt;CaseOpenDate&amp;gt;2024-02-28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69922&amp;lt;/DecisionID&amp;gt;_x000d__x000a_        &amp;lt;DecisionNumber&amp;gt;9&amp;lt;/DecisionNumber&amp;gt;_x000d__x000a_        &amp;lt;DecisionName&amp;gt;החלטה על בקשה של תובע 1 בקשה דחופה לפסילת כבוד המותבת הדנה בהליך&amp;lt;/DecisionName&amp;gt;_x000d__x000a_        &amp;lt;DecisionStatusID&amp;gt;1&amp;lt;/DecisionStatusID&amp;gt;_x000d__x000a_        &amp;lt;DecisionStatusChangeDate&amp;gt;2024-06-20T15:16:59.393+03:00&amp;lt;/DecisionStatusChangeDate&amp;gt;_x000d__x000a_        &amp;lt;DecisionSignatureDate&amp;gt;2024-06-20T15:16:58.263+03:00&amp;lt;/DecisionSignatureDate&amp;gt;_x000d__x000a_        &amp;lt;DecisionSignatureUserID&amp;gt;022259600@GOV.IL&amp;lt;/DecisionSignatureUserID&amp;gt;_x000d__x000a_        &amp;lt;DecisionCreateDate&amp;gt;2024-06-20T15:13:21.17+03:00&amp;lt;/DecisionCreateDate&amp;gt;_x000d__x000a_        &amp;lt;DecisionChangeDate&amp;gt;2024-06-20T15:16:59.623+03:00&amp;lt;/DecisionChangeDate&amp;gt;_x000d__x000a_        &amp;lt;DecisionChangeUserID&amp;gt;02930039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4559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00399@GOV.IL&amp;lt;/DecisionCreationUserID&amp;gt;_x000d__x000a_        &amp;lt;DecisionDisplayName&amp;gt;החלטה על בקשה של תובע 1 בקשה דחופה לפסילת כבוד המותבת הדנה בהליך&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2369922&amp;lt;/DecisionID&amp;gt;_x000d__x000a_        &amp;lt;CaseID&amp;gt;81028169&amp;lt;/CaseID&amp;gt;_x000d__x000a_        &amp;lt;IsOriginal&amp;gt;true&amp;lt;/IsOriginal&amp;gt;_x000d__x000a_        &amp;lt;IsDeleted&amp;gt;false&amp;lt;/IsDeleted&amp;gt;_x000d__x000a_        &amp;lt;CaseName&amp;gt;אזוריאל נ&amp;#39; דרור אזוריאל&amp;lt;/CaseName&amp;gt;_x000d__x000a_        &amp;lt;CaseDisplayIdentifier&amp;gt;62463-02-24 תלה&amp;quot;מ&amp;lt;/CaseDisplayIdentifier&amp;gt;_x000d__x000a_      &amp;lt;/dt_DecisionCase&amp;gt;_x000d__x000a_      &amp;lt;dt_DecisionMotion diffgr:id=&amp;quot;dt_DecisionMotion1&amp;quot; msdata:rowOrder=&amp;quot;0&amp;quot;&amp;gt;_x000d__x000a_        &amp;lt;DecisionID&amp;gt;152369922&amp;lt;/DecisionID&amp;gt;_x000d__x000a_        &amp;lt;MotionID&amp;gt;108125879&amp;lt;/MotionID&amp;gt;_x000d__x000a_        &amp;lt;IsOriginalMotion&amp;gt;true&amp;lt;/IsOriginalMotion&amp;gt;_x000d__x000a_        &amp;lt;MotionName&amp;gt;בקשה של תובע 1 בקשה דחופה לפסילת כבוד המותבת הדנה בהליך&amp;lt;/MotionName&amp;gt;_x000d__x000a_        &amp;lt;MotionOpenDate&amp;gt;2024-05-29T07:57:26.567+03:00&amp;lt;/MotionOpenDate&amp;gt;_x000d__x000a_        &amp;lt;CaseID&amp;gt;81028169&amp;lt;/CaseID&amp;gt;_x000d__x000a_        &amp;lt;CaseDisplayIdentifier&amp;gt;62463-02-24 תלה&amp;quot;מ&amp;lt;/CaseDisplayIdentifier&amp;gt;_x000d__x000a_        &amp;lt;ProcessNumber&amp;gt;9&amp;lt;/ProcessNumber&amp;gt;_x000d__x000a_        &amp;lt;ListOfProcessIds&amp;gt;9&amp;lt;/ListOfProcessIds&amp;gt;_x000d__x000a_      &amp;lt;/dt_DecisionMotion&amp;gt;_x000d__x000a_    &amp;lt;/DecisionDS&amp;gt;_x000d__x000a_  &amp;lt;/diffgr:diffgram&amp;gt;_x000d__x000a_&amp;lt;/DecisionDS&amp;gt;"/>
    <w:docVar w:name="DecisionID" w:val="152369922"/>
    <w:docVar w:name="WordClientAssemblyName" w:val="NGCS.Decision.ClientWordBL"/>
    <w:docVar w:name="WordClientClassName" w:val="NGCS.Decision.ClientWordBL.DecisionClient"/>
  </w:docVars>
  <w:rsids>
    <w:rsidRoot w:val="00694556"/>
    <w:rsid w:val="00000062"/>
    <w:rsid w:val="0000226B"/>
    <w:rsid w:val="00005C8B"/>
    <w:rsid w:val="00021615"/>
    <w:rsid w:val="000229A1"/>
    <w:rsid w:val="000529D2"/>
    <w:rsid w:val="000564AB"/>
    <w:rsid w:val="00064651"/>
    <w:rsid w:val="00064FBD"/>
    <w:rsid w:val="00082AB2"/>
    <w:rsid w:val="000906FE"/>
    <w:rsid w:val="00096AF7"/>
    <w:rsid w:val="000A7BAA"/>
    <w:rsid w:val="000B344B"/>
    <w:rsid w:val="000C3B0F"/>
    <w:rsid w:val="000C3B60"/>
    <w:rsid w:val="000E0DD2"/>
    <w:rsid w:val="000E3AF1"/>
    <w:rsid w:val="000F0BC8"/>
    <w:rsid w:val="000F0DD6"/>
    <w:rsid w:val="001053D8"/>
    <w:rsid w:val="00107E6D"/>
    <w:rsid w:val="0011194C"/>
    <w:rsid w:val="0011424C"/>
    <w:rsid w:val="001173C6"/>
    <w:rsid w:val="001367BC"/>
    <w:rsid w:val="00144D2A"/>
    <w:rsid w:val="0014653E"/>
    <w:rsid w:val="00180519"/>
    <w:rsid w:val="0018772C"/>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539F"/>
    <w:rsid w:val="004E6E3C"/>
    <w:rsid w:val="00520898"/>
    <w:rsid w:val="00523621"/>
    <w:rsid w:val="00524986"/>
    <w:rsid w:val="005268F6"/>
    <w:rsid w:val="00534284"/>
    <w:rsid w:val="00547DB7"/>
    <w:rsid w:val="005903DE"/>
    <w:rsid w:val="005A1F3B"/>
    <w:rsid w:val="005A76E9"/>
    <w:rsid w:val="005F4F09"/>
    <w:rsid w:val="0061431B"/>
    <w:rsid w:val="00622BAA"/>
    <w:rsid w:val="006306CF"/>
    <w:rsid w:val="00635B6E"/>
    <w:rsid w:val="00644E9A"/>
    <w:rsid w:val="00671BD5"/>
    <w:rsid w:val="006805C1"/>
    <w:rsid w:val="00686C21"/>
    <w:rsid w:val="006931C1"/>
    <w:rsid w:val="00694556"/>
    <w:rsid w:val="006B568A"/>
    <w:rsid w:val="006C30C5"/>
    <w:rsid w:val="006C4820"/>
    <w:rsid w:val="006D3B31"/>
    <w:rsid w:val="006E0D96"/>
    <w:rsid w:val="006E1A53"/>
    <w:rsid w:val="006F56E6"/>
    <w:rsid w:val="00704EDA"/>
    <w:rsid w:val="00721122"/>
    <w:rsid w:val="00753019"/>
    <w:rsid w:val="00754801"/>
    <w:rsid w:val="00761441"/>
    <w:rsid w:val="00795365"/>
    <w:rsid w:val="007A351D"/>
    <w:rsid w:val="007A5E4B"/>
    <w:rsid w:val="007B7765"/>
    <w:rsid w:val="007C5BDD"/>
    <w:rsid w:val="007D45E3"/>
    <w:rsid w:val="007D7911"/>
    <w:rsid w:val="007E0D44"/>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24FF6"/>
    <w:rsid w:val="009424C3"/>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336BA"/>
    <w:rsid w:val="00B5356E"/>
    <w:rsid w:val="00B809AD"/>
    <w:rsid w:val="00B80CBD"/>
    <w:rsid w:val="00B86096"/>
    <w:rsid w:val="00B964D9"/>
    <w:rsid w:val="00BA0A7C"/>
    <w:rsid w:val="00BA517C"/>
    <w:rsid w:val="00BB3D05"/>
    <w:rsid w:val="00BB73BE"/>
    <w:rsid w:val="00BC2D89"/>
    <w:rsid w:val="00BD0A2A"/>
    <w:rsid w:val="00BD6531"/>
    <w:rsid w:val="00BE05B2"/>
    <w:rsid w:val="00BF1908"/>
    <w:rsid w:val="00C22D93"/>
    <w:rsid w:val="00C23458"/>
    <w:rsid w:val="00C31120"/>
    <w:rsid w:val="00C34482"/>
    <w:rsid w:val="00C42EE1"/>
    <w:rsid w:val="00C43648"/>
    <w:rsid w:val="00C50A9F"/>
    <w:rsid w:val="00C642FA"/>
    <w:rsid w:val="00C73911"/>
    <w:rsid w:val="00CC7622"/>
    <w:rsid w:val="00CD608F"/>
    <w:rsid w:val="00CF6BB7"/>
    <w:rsid w:val="00D04AA4"/>
    <w:rsid w:val="00D23F61"/>
    <w:rsid w:val="00D27982"/>
    <w:rsid w:val="00D33B86"/>
    <w:rsid w:val="00D44968"/>
    <w:rsid w:val="00D53924"/>
    <w:rsid w:val="00D55D0C"/>
    <w:rsid w:val="00D8594C"/>
    <w:rsid w:val="00D96D8C"/>
    <w:rsid w:val="00DA6649"/>
    <w:rsid w:val="00DC1259"/>
    <w:rsid w:val="00DC1BD2"/>
    <w:rsid w:val="00DC2571"/>
    <w:rsid w:val="00DC487C"/>
    <w:rsid w:val="00DC6F18"/>
    <w:rsid w:val="00DD6000"/>
    <w:rsid w:val="00DE1E7D"/>
    <w:rsid w:val="00DE6BF6"/>
    <w:rsid w:val="00E04E84"/>
    <w:rsid w:val="00E05EB9"/>
    <w:rsid w:val="00E1068A"/>
    <w:rsid w:val="00E25884"/>
    <w:rsid w:val="00E25B55"/>
    <w:rsid w:val="00E31C2B"/>
    <w:rsid w:val="00E5426A"/>
    <w:rsid w:val="00E54642"/>
    <w:rsid w:val="00E54CD9"/>
    <w:rsid w:val="00E80CBE"/>
    <w:rsid w:val="00E962E3"/>
    <w:rsid w:val="00EB6C79"/>
    <w:rsid w:val="00EC37E9"/>
    <w:rsid w:val="00F038D8"/>
    <w:rsid w:val="00F06995"/>
    <w:rsid w:val="00F0744F"/>
    <w:rsid w:val="00F13623"/>
    <w:rsid w:val="00F44D1D"/>
    <w:rsid w:val="00F72C72"/>
    <w:rsid w:val="00F84B6D"/>
    <w:rsid w:val="00F957E8"/>
    <w:rsid w:val="00FA311A"/>
    <w:rsid w:val="00FA5FDA"/>
    <w:rsid w:val="00FB6AB3"/>
    <w:rsid w:val="00FD1419"/>
    <w:rsid w:val="00FD79E4"/>
    <w:rsid w:val="00FE187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336BA"/>
    <w:pPr>
      <w:ind w:left="720"/>
      <w:contextualSpacing/>
    </w:pPr>
  </w:style>
  <w:style w:type="character" w:styleId="Hyperlink">
    <w:name w:val="Hyperlink"/>
    <w:basedOn w:val="a0"/>
    <w:uiPriority w:val="99"/>
    <w:semiHidden/>
    <w:unhideWhenUsed/>
    <w:rsid w:val="00924F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157751" TargetMode="Externa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nevo.co.il/law/157751/138.a.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196390"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nevo.co.il/law/196390/48"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2177" w:rsidP="003E2177">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E2177"/>
    <w:rsid w:val="00405FEA"/>
    <w:rsid w:val="004745AE"/>
    <w:rsid w:val="0048651F"/>
    <w:rsid w:val="005157ED"/>
    <w:rsid w:val="00556D67"/>
    <w:rsid w:val="00670164"/>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E217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אביטל קזלו</FullName>
        <FirstName>אביטל</FirstName>
        <LastName>קזלו</LastName>
        <PartyPropertyName/>
        <AuthenticationTypeAndNumber>מ.ר. 26657</AuthenticationTypeAndNumber>
        <RepresentatedOrRepresentativesNames>אורלי ז'קלין דרור אזוריאל</RepresentatedOrRepresentativesNames>
        <RepresentatedOrRepresentativesCount>1</RepresentatedOrRepresentativesCount>
        <InvitedBy/>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267428064</CasePartyID>
        <PartyTypeID>2</PartyTypeID>
        <ActivityStatusID>1</ActivityStatusID>
        <PartyAliasID>21</PartyAliasID>
        <PartyAliasName>בא כוח נתבעים</PartyAliasName>
        <LegalEntityID>403308</LegalEntityID>
        <CaseLegalEntityID>128075990</CaseLegalEntityID>
        <AuthenticationTypeID>4</AuthenticationTypeID>
        <AuthenticationTypeName>מ.ר.</AuthenticationTypeName>
        <LegalEntityNumber>26657</LegalEntityNumber>
        <IsMainPartyType>true</IsMainPartyType>
        <CaseDisplayIdentifier>62463-02-24</CaseDisplayIdentifier>
        <CaseTypeID>10262</CaseTypeID>
        <CaseTypeName>תביעה לאחר הסדר התדיינויות במשפחה (תלה"מ)</CaseTypeName>
        <CaseName>אזוריאל נ' דרור אזוריאל</CaseName>
        <FullAddress>כנרת 5 בני ברק בסר 3</FullAddress>
        <EmailAddress>tali@koslowe-law.co.il</EmailAddress>
        <MotionID>0</MotionID>
        <CasePleaID>0</CasePleaID>
        <LinkedCaseID>0</LinkedCaseID>
        <PartyID>2</PartyID>
        <CasePartyCategoryID>2</CasePartyCategoryID>
        <LegalEntityAddressID>79526484</LegalEntityAddressID>
        <LegalEntityEmailAddressID>67932916</LegalEntityEmailAddressID>
        <PleaTypeID>4</PleaTypeID>
        <LawyerOfficeName>משרד עו"ד: אביטל קזלו</LawyerOfficeName>
        <LawyerOfficeID>443952</LawyerOfficeID>
        <GroupPartyAlias/>
        <IsConverted>false</IsConverted>
        <LegalEntityNameID>24292</LegalEntityNameID>
        <RepresentatedNamesOfAssistant/>
        <LegalEntityTypeID>4</LegalEntityTypeID>
        <IsVerdictExists>false</IsVerdictExists>
        <IsAsirAzir>false</IsAsirAzir>
        <IsPublicationProhibited>false</IsPublicationProhibited>
        <PublicationProhibitedFullName>אביטל קזלו</PublicationProhibitedFullName>
      </CaseParties>
      <CaseParties>
        <PartyTypeName>צד</PartyTypeName>
        <ProceedingType>בקשות</ProceedingType>
        <PleaName>בקשה של תובע 1 בקשה דחופה לפסילת כבוד המותבת הדנה בהליך</PleaName>
        <PartyBelonging>צד א'</PartyBelonging>
        <RoleName>מבקש 1</RoleName>
        <IsSubProceeding>TRUE</IsSubProceeding>
        <FullName>אברהם אזוריאל</FullName>
        <FirstName>אברהם</FirstName>
        <LastName>אזוריאל</LastName>
        <PartyPropertyName/>
        <AuthenticationTypeAndNumber>ת"ז 022748446</AuthenticationTypeAndNumber>
        <RepresentatedOrRepresentativesNames>מעיין אספיר</RepresentatedOrRepresentativesNames>
        <RepresentatedOrRepresentativesCount>1</RepresentatedOrRepresentativesCount>
        <InvitedBy/>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270749258</CasePartyID>
        <PartyTypeID>1</PartyTypeID>
        <ActivityStatusID>1</ActivityStatusID>
        <PartyAliasID>3</PartyAliasID>
        <PartyAliasName>מבקש</PartyAliasName>
        <OrdinalNumber>1</OrdinalNumber>
        <LegalEntityID>23656308</LegalEntityID>
        <CaseLegalEntityID>127938954</CaseLegalEntityID>
        <AuthenticationTypeID>1</AuthenticationTypeID>
        <AuthenticationTypeName>ת"ז</AuthenticationTypeName>
        <LegalEntityNumber>022748446</LegalEntityNumber>
        <IsMainPartyType>false</IsMainPartyType>
        <CaseDisplayIdentifier>62463-02-24</CaseDisplayIdentifier>
        <CaseTypeID>10262</CaseTypeID>
        <CaseTypeName>תביעה לאחר הסדר התדיינויות במשפחה (תלה"מ)</CaseTypeName>
        <CaseName>אזוריאל נ' דרור אזוריאל</CaseName>
        <FullAddress>ברנע דב 31/1 באר שבע </FullAddress>
        <MotionID>108125879</MotionID>
        <CasePleaID>0</CasePleaID>
        <BirthDate>1967-01-01T00:00:00+02:00</BirthDate>
        <FatherName>שמעון</FatherName>
        <LinkedCaseID>0</LinkedCaseID>
        <PartyID>1</PartyID>
        <CasePartyCategoryID>4</CasePartyCategoryID>
        <LegalEntityAddressID>89013647</LegalEntityAddressID>
        <PleaTypeID>60</PleaTypeID>
        <GroupPartyAlias>מבקשים</GroupPartyAlias>
        <IsConverted>false</IsConverted>
        <LegalEntityRegisteredNameID>9030895</LegalEntityRegisteredNameID>
        <LegalEntityNameID>96215576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אזוריאל</PublicationProhibitedFullName>
      </CaseParties>
      <CaseParties>
        <PartyTypeName>צד</PartyTypeName>
        <ProceedingType>בקשות</ProceedingType>
        <PleaName>בקשה של תובע 1 בקשה דחופה לפסילת כבוד המותבת הדנה בהליך</PleaName>
        <PartyBelonging>צד ב'</PartyBelonging>
        <RoleName>משיב 1</RoleName>
        <IsSubProceeding>TRUE</IsSubProceeding>
        <FullName>אורלי ז'קלין דרור אזוריאל</FullName>
        <FirstName>אורלי ז'קלין</FirstName>
        <LastName>דרור אזוריאל</LastName>
        <PartyPropertyName/>
        <AuthenticationTypeAndNumber>ת"ז 027928084</AuthenticationTypeAndNumber>
        <RepresentatedOrRepresentativesNames>אביטל קזלו</RepresentatedOrRepresentativesNames>
        <RepresentatedOrRepresentativesCount>1</RepresentatedOrRepresentativesCount>
        <InvitedBy/>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270749259</CasePartyID>
        <PartyTypeID>1</PartyTypeID>
        <ActivityStatusID>1</ActivityStatusID>
        <PartyAliasID>4</PartyAliasID>
        <PartyAliasName>משיב</PartyAliasName>
        <OrdinalNumber>1</OrdinalNumber>
        <LegalEntityID>21997380</LegalEntityID>
        <CaseLegalEntityID>127938956</CaseLegalEntityID>
        <AuthenticationTypeID>1</AuthenticationTypeID>
        <AuthenticationTypeName>ת"ז</AuthenticationTypeName>
        <LegalEntityNumber>027928084</LegalEntityNumber>
        <IsMainPartyType>false</IsMainPartyType>
        <CaseDisplayIdentifier>62463-02-24</CaseDisplayIdentifier>
        <CaseTypeID>10262</CaseTypeID>
        <CaseTypeName>תביעה לאחר הסדר התדיינויות במשפחה (תלה"מ)</CaseTypeName>
        <CaseName>אזוריאל נ' דרור אזוריאל</CaseName>
        <FullAddress>יוני נתניהו 28/21 גבעת שמואל </FullAddress>
        <MotionID>108125879</MotionID>
        <CasePleaID>0</CasePleaID>
        <FatherName>שאול</FatherName>
        <LinkedCaseID>0</LinkedCaseID>
        <PartyID>2</PartyID>
        <CasePartyCategoryID>4</CasePartyCategoryID>
        <LegalEntityAddressID>89013648</LegalEntityAddressID>
        <PleaTypeID>60</PleaTypeID>
        <GroupPartyAlias>משיבים</GroupPartyAlias>
        <IsConverted>false</IsConverted>
        <LegalEntityNameID>96215577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אורלי ז'קלין דרור אזוריאל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מעיין אספיר</FullName>
        <FirstName>מעיין</FirstName>
        <LastName>אספיר</LastName>
        <PartyPropertyName/>
        <AuthenticationTypeAndNumber>מ.ר. 59991</AuthenticationTypeAndNumber>
        <RepresentatedOrRepresentativesNames>אברהם אזוריאל</RepresentatedOrRepresentativesNames>
        <RepresentatedOrRepresentativesCount>1</RepresentatedOrRepresentativesCount>
        <InvitedBy/>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266931076</CasePartyID>
        <PartyTypeID>2</PartyTypeID>
        <ActivityStatusID>1</ActivityStatusID>
        <PartyAliasID>20</PartyAliasID>
        <PartyAliasName>בא כוח תובעים</PartyAliasName>
        <OrdinalNumber>1</OrdinalNumber>
        <LegalEntityID>71621289</LegalEntityID>
        <CaseLegalEntityID>127938955</CaseLegalEntityID>
        <AuthenticationTypeID>4</AuthenticationTypeID>
        <AuthenticationTypeName>מ.ר.</AuthenticationTypeName>
        <LegalEntityNumber>59991</LegalEntityNumber>
        <IsMainPartyType>true</IsMainPartyType>
        <CaseDisplayIdentifier>62463-02-24</CaseDisplayIdentifier>
        <CaseTypeID>10262</CaseTypeID>
        <CaseTypeName>תביעה לאחר הסדר התדיינויות במשפחה (תלה"מ)</CaseTypeName>
        <CaseName>אזוריאל נ' דרור אזוריאל</CaseName>
        <FullAddress>ת.ד 5805 הרצלייה </FullAddress>
        <EmailAddress>talmike.law@gmail.com</EmailAddress>
        <MotionID>0</MotionID>
        <CasePleaID>0</CasePleaID>
        <LinkedCaseID>0</LinkedCaseID>
        <PartyID>1</PartyID>
        <CasePartyCategoryID>2</CasePartyCategoryID>
        <LegalEntityAddressID>72176862</LegalEntityAddressID>
        <LegalEntityEmailAddressID>67877191</LegalEntityEmailAddressID>
        <PleaTypeID>4</PleaTypeID>
        <LawyerOfficeName>מייק&amp;אספיר ושות'</LawyerOfficeName>
        <LawyerOfficeID>70764226</LawyerOfficeID>
        <GroupPartyAlias/>
        <IsConverted>false</IsConverted>
        <LegalEntityNameID>74917556</LegalEntityNameID>
        <RepresentatedNamesOfAssistant/>
        <LegalEntityTypeID>4</LegalEntityTypeID>
        <IsVerdictExists>false</IsVerdictExists>
        <IsAsirAzir>false</IsAsirAzir>
        <IsPublicationProhibited>false</IsPublicationProhibited>
        <PublicationProhibitedFullName>מעיין אספיר</PublicationProhibitedFullName>
      </CaseParties>
    </CasePartiesSelectionDS>
    <DecisionName>החלטה</DecisionName>
    <CourtDisplayName>בית משפט לענייני משפחה בפתח תקווה</CourtDisplayName>
    <IsCaseJudgePanel>false</IsCaseJudgePanel>
    <DecisionSignatureDate>2024-06-20T15:07:16.8349628+03:00</DecisionSignatureDate>
    <OpenCaseDate>2024-02-28T07:00:00+02:00</OpenCaseDate>
    <CaseFeeSum>0.000</CaseFeeSum>
    <DecisionTypeID>1</DecisionTypeID>
    <DecisionSignatureUserName>אפרת ונקרט</DecisionSignatureUserName>
    <MotionID>108125879</MotionID>
    <DecisionSignatureDateHebrew>2024-06-20T15:07:16.8349628+03:00</DecisionSignatureDateHebrew>
    <MotionNumber>9</MotionNumber>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אזוריאל נ' דרור אזוריאל</CaseName>
    <DecisionNumberInCase>14</DecisionNumberInCase>
  </dt_Decision>
  <dt_DecisionCase>
    <DecisionID>0</DecisionID>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אביטל קזלו</FullName>
        <FirstName>אביטל</FirstName>
        <LastName>קזלו</LastName>
        <PartyPropertyName/>
        <AuthenticationTypeAndNumber>מ.ר. 26657</AuthenticationTypeAndNumber>
        <RepresentatedOrRepresentativesNames>אורלי ז'קלין דרור אזוריאל</RepresentatedOrRepresentativesNames>
        <RepresentatedOrRepresentativesCount>1</RepresentatedOrRepresentativesCount>
        <InvitedBy/>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267428064</CasePartyID>
        <PartyTypeID>2</PartyTypeID>
        <ActivityStatusID>1</ActivityStatusID>
        <PartyAliasID>21</PartyAliasID>
        <PartyAliasName>בא כוח נתבעים</PartyAliasName>
        <LegalEntityID>403308</LegalEntityID>
        <CaseLegalEntityID>128075990</CaseLegalEntityID>
        <AuthenticationTypeID>4</AuthenticationTypeID>
        <AuthenticationTypeName>מ.ר.</AuthenticationTypeName>
        <LegalEntityNumber>26657</LegalEntityNumber>
        <IsMainPartyType>true</IsMainPartyType>
        <CaseDisplayIdentifier>62463-02-24</CaseDisplayIdentifier>
        <CaseTypeID>10262</CaseTypeID>
        <CaseTypeName>תביעה לאחר הסדר התדיינויות במשפחה (תלה"מ)</CaseTypeName>
        <CaseName>אזוריאל נ' דרור אזוריאל</CaseName>
        <FullAddress>כנרת 5 בני ברק בסר 3</FullAddress>
        <EmailAddress>tali@koslowe-law.co.il</EmailAddress>
        <MotionID>0</MotionID>
        <CasePleaID>0</CasePleaID>
        <LinkedCaseID>0</LinkedCaseID>
        <PartyID>2</PartyID>
        <CasePartyCategoryID>2</CasePartyCategoryID>
        <LegalEntityAddressID>79526484</LegalEntityAddressID>
        <LegalEntityEmailAddressID>67932916</LegalEntityEmailAddressID>
        <PleaTypeID>4</PleaTypeID>
        <LawyerOfficeName>משרד עו"ד: אביטל קזלו</LawyerOfficeName>
        <LawyerOfficeID>443952</LawyerOfficeID>
        <GroupPartyAlias/>
        <IsConverted>false</IsConverted>
        <LegalEntityNameID>24292</LegalEntityNameID>
        <RepresentatedNamesOfAssistant/>
        <LegalEntityTypeID>4</LegalEntityTypeID>
        <IsVerdictExists>false</IsVerdictExists>
        <IsAsirAzir>false</IsAsirAzir>
        <IsPublicationProhibited>false</IsPublicationProhibited>
        <PublicationProhibitedFullName>אביטל קזלו</PublicationProhibitedFullName>
      </CaseParties>
      <CaseParties>
        <PartyTypeName>צד</PartyTypeName>
        <ProceedingType>בקשות</ProceedingType>
        <PleaName>בקשה של תובע 1 בקשה דחופה לפסילת כבוד המותבת הדנה בהליך</PleaName>
        <PartyBelonging>צד א'</PartyBelonging>
        <RoleName>מבקש 1</RoleName>
        <IsSubProceeding>TRUE</IsSubProceeding>
        <FullName>אברהם אזוריאל</FullName>
        <FirstName>אברהם</FirstName>
        <LastName>אזוריאל</LastName>
        <PartyPropertyName/>
        <AuthenticationTypeAndNumber>ת"ז 022748446</AuthenticationTypeAndNumber>
        <RepresentatedOrRepresentativesNames>מעיין אספיר</RepresentatedOrRepresentativesNames>
        <RepresentatedOrRepresentativesCount>1</RepresentatedOrRepresentativesCount>
        <InvitedBy/>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270749258</CasePartyID>
        <PartyTypeID>1</PartyTypeID>
        <ActivityStatusID>1</ActivityStatusID>
        <PartyAliasID>3</PartyAliasID>
        <PartyAliasName>מבקש</PartyAliasName>
        <OrdinalNumber>1</OrdinalNumber>
        <LegalEntityID>23656308</LegalEntityID>
        <CaseLegalEntityID>127938954</CaseLegalEntityID>
        <AuthenticationTypeID>1</AuthenticationTypeID>
        <AuthenticationTypeName>ת"ז</AuthenticationTypeName>
        <LegalEntityNumber>022748446</LegalEntityNumber>
        <IsMainPartyType>false</IsMainPartyType>
        <CaseDisplayIdentifier>62463-02-24</CaseDisplayIdentifier>
        <CaseTypeID>10262</CaseTypeID>
        <CaseTypeName>תביעה לאחר הסדר התדיינויות במשפחה (תלה"מ)</CaseTypeName>
        <CaseName>אזוריאל נ' דרור אזוריאל</CaseName>
        <FullAddress>ברנע דב 31/1 באר שבע </FullAddress>
        <MotionID>108125879</MotionID>
        <CasePleaID>0</CasePleaID>
        <BirthDate>1967-01-01T00:00:00+02:00</BirthDate>
        <FatherName>שמעון</FatherName>
        <LinkedCaseID>0</LinkedCaseID>
        <PartyID>1</PartyID>
        <CasePartyCategoryID>4</CasePartyCategoryID>
        <LegalEntityAddressID>89013647</LegalEntityAddressID>
        <PleaTypeID>60</PleaTypeID>
        <GroupPartyAlias>מבקשים</GroupPartyAlias>
        <IsConverted>false</IsConverted>
        <LegalEntityRegisteredNameID>9030895</LegalEntityRegisteredNameID>
        <LegalEntityNameID>96215576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אזוריאל</PublicationProhibitedFullName>
      </CaseParties>
      <CaseParties>
        <PartyTypeName>צד</PartyTypeName>
        <ProceedingType>בקשות</ProceedingType>
        <PleaName>בקשה של תובע 1 בקשה דחופה לפסילת כבוד המותבת הדנה בהליך</PleaName>
        <PartyBelonging>צד ב'</PartyBelonging>
        <RoleName>משיב 1</RoleName>
        <IsSubProceeding>TRUE</IsSubProceeding>
        <FullName>אורלי ז'קלין דרור אזוריאל</FullName>
        <FirstName>אורלי ז'קלין</FirstName>
        <LastName>דרור אזוריאל</LastName>
        <PartyPropertyName/>
        <AuthenticationTypeAndNumber>ת"ז 027928084</AuthenticationTypeAndNumber>
        <RepresentatedOrRepresentativesNames>אביטל קזלו</RepresentatedOrRepresentativesNames>
        <RepresentatedOrRepresentativesCount>1</RepresentatedOrRepresentativesCount>
        <InvitedBy/>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270749259</CasePartyID>
        <PartyTypeID>1</PartyTypeID>
        <ActivityStatusID>1</ActivityStatusID>
        <PartyAliasID>4</PartyAliasID>
        <PartyAliasName>משיב</PartyAliasName>
        <OrdinalNumber>1</OrdinalNumber>
        <LegalEntityID>21997380</LegalEntityID>
        <CaseLegalEntityID>127938956</CaseLegalEntityID>
        <AuthenticationTypeID>1</AuthenticationTypeID>
        <AuthenticationTypeName>ת"ז</AuthenticationTypeName>
        <LegalEntityNumber>027928084</LegalEntityNumber>
        <IsMainPartyType>false</IsMainPartyType>
        <CaseDisplayIdentifier>62463-02-24</CaseDisplayIdentifier>
        <CaseTypeID>10262</CaseTypeID>
        <CaseTypeName>תביעה לאחר הסדר התדיינויות במשפחה (תלה"מ)</CaseTypeName>
        <CaseName>אזוריאל נ' דרור אזוריאל</CaseName>
        <FullAddress>יוני נתניהו 28/21 גבעת שמואל </FullAddress>
        <MotionID>108125879</MotionID>
        <CasePleaID>0</CasePleaID>
        <FatherName>שאול</FatherName>
        <LinkedCaseID>0</LinkedCaseID>
        <PartyID>2</PartyID>
        <CasePartyCategoryID>4</CasePartyCategoryID>
        <LegalEntityAddressID>89013648</LegalEntityAddressID>
        <PleaTypeID>60</PleaTypeID>
        <GroupPartyAlias>משיבים</GroupPartyAlias>
        <IsConverted>false</IsConverted>
        <LegalEntityNameID>96215577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אורלי ז'קלין דרור אזוריאל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מעיין אספיר</FullName>
        <FirstName>מעיין</FirstName>
        <LastName>אספיר</LastName>
        <PartyPropertyName/>
        <AuthenticationTypeAndNumber>מ.ר. 59991</AuthenticationTypeAndNumber>
        <RepresentatedOrRepresentativesNames>אברהם אזוריאל</RepresentatedOrRepresentativesNames>
        <RepresentatedOrRepresentativesCount>1</RepresentatedOrRepresentativesCount>
        <InvitedBy/>
        <CaseID>81028169</CaseID>
        <CaseJudicialPersonPresentationDS>
          <CaseJudicalPersonActive>
            <CaseID>81028169</CaseID>
            <MotionID>108125879</MotionID>
            <JudicialPersonID>022259600@GOV.IL</JudicialPersonID>
            <JudicialPersonTypeID>1</JudicialPersonTypeID>
            <JudicialTypeID>1</JudicialTypeID>
            <IsChairman>false</IsChairman>
            <TreatmentStartDate>2024-05-29T07:57:26.663+03:00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266931076</CasePartyID>
        <PartyTypeID>2</PartyTypeID>
        <ActivityStatusID>1</ActivityStatusID>
        <PartyAliasID>20</PartyAliasID>
        <PartyAliasName>בא כוח תובעים</PartyAliasName>
        <OrdinalNumber>1</OrdinalNumber>
        <LegalEntityID>71621289</LegalEntityID>
        <CaseLegalEntityID>127938955</CaseLegalEntityID>
        <AuthenticationTypeID>4</AuthenticationTypeID>
        <AuthenticationTypeName>מ.ר.</AuthenticationTypeName>
        <LegalEntityNumber>59991</LegalEntityNumber>
        <IsMainPartyType>true</IsMainPartyType>
        <CaseDisplayIdentifier>62463-02-24</CaseDisplayIdentifier>
        <CaseTypeID>10262</CaseTypeID>
        <CaseTypeName>תביעה לאחר הסדר התדיינויות במשפחה (תלה"מ)</CaseTypeName>
        <CaseName>אזוריאל נ' דרור אזוריאל</CaseName>
        <FullAddress>ת.ד 5805 הרצלייה </FullAddress>
        <EmailAddress>talmike.law@gmail.com</EmailAddress>
        <MotionID>0</MotionID>
        <CasePleaID>0</CasePleaID>
        <LinkedCaseID>0</LinkedCaseID>
        <PartyID>1</PartyID>
        <CasePartyCategoryID>2</CasePartyCategoryID>
        <LegalEntityAddressID>72176862</LegalEntityAddressID>
        <LegalEntityEmailAddressID>67877191</LegalEntityEmailAddressID>
        <PleaTypeID>4</PleaTypeID>
        <LawyerOfficeName>מייק&amp;אספיר ושות'</LawyerOfficeName>
        <LawyerOfficeID>70764226</LawyerOfficeID>
        <GroupPartyAlias/>
        <IsConverted>false</IsConverted>
        <LegalEntityNameID>74917556</LegalEntityNameID>
        <RepresentatedNamesOfAssistant/>
        <LegalEntityTypeID>4</LegalEntityTypeID>
        <IsVerdictExists>false</IsVerdictExists>
        <IsAsirAzir>false</IsAsirAzir>
        <IsPublicationProhibited>false</IsPublicationProhibited>
        <PublicationProhibitedFullName>מעיין אספיר</PublicationProhibitedFullName>
      </CaseParties>
    </CasePartiesSelectionDS>
    <CaseName>אזוריאל נ' דרור אזוריאל</CaseName>
    <CaseDisplayIdentifier>62463-02-24</CaseDisplayIdentifier>
    <CaseInterestID>10118</CaseInterestID>
    <CaseTypeShortName>תלה"מ</CaseTypeShortName>
  </dt_DecisionCase>
  <dt_DecisionJudgePanel>
    <JudgeID>022259600@GOV.IL</JudgeID>
    <DisplayName>אפרת ונקרט</DisplayName>
    <RoleName>שופט</RoleName>
    <UserTitleName>שופטת</UserTitleName>
  </dt_DecisionJudgePanel>
  <dt_LegalEntityDetails>
    <Fax>03-7515556</Fax>
    <Phone>03-7522155</Phone>
    <AddressDesc>בסר 3</AddressDesc>
    <PartyID>2</PartyID>
    <PartyTypeID>2</PartyTypeID>
    <DecisionID>0</DecisionID>
    <StreetName>כנרת 5</StreetName>
    <CityName>בני ברק</CityName>
    <FullName>אביטל קזלו</FullName>
    <Email>tali@koslowe-law.co.il</Email>
    <IsPublicationProhibited>false</IsPublicationProhibited>
  </dt_LegalEntityDetails>
  <dt_LegalEntityDetails>
    <PartyID>1</PartyID>
    <PartyTypeID>1</PartyTypeID>
    <DecisionID>0</DecisionID>
    <StreetName>ברנע דב 31/1</StreetName>
    <CityName>באר שבע</CityName>
    <FullName>אברהם אזוריאל</FullName>
    <IsPublicationProhibited>false</IsPublicationProhibited>
  </dt_LegalEntityDetails>
  <dt_LegalEntityDetails>
    <Fax>153-99575038</Fax>
    <PartyID>1</PartyID>
    <PartyTypeID>2</PartyTypeID>
    <DecisionID>0</DecisionID>
    <StreetName>ת.ד 5805</StreetName>
    <ZipCode>46497</ZipCode>
    <CityName>הרצלייה</CityName>
    <FullName>מעיין אספיר</FullName>
    <Email>talmike.law@gmail.com</Email>
    <IsPublicationProhibited>false</IsPublicationProhibited>
  </dt_LegalEntityDetails>
  <dt_LegalEntityDetails>
    <PartyID>2</PartyID>
    <PartyTypeID>1</PartyTypeID>
    <DecisionID>0</DecisionID>
    <StreetName>יוני נתניהו 28/21</StreetName>
    <CityName>גבעת שמואל</CityName>
    <FullName>אורלי ז'קלין דרור אזוריאל</FullName>
    <IsPublicationProhibited>false</IsPublicationProhibited>
  </dt_LegalEntityDetails>
  <dt_CaseJudicalPersonActive>
    <CaseJudicalPerson>שופטת אפרת ונקרט</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3A837-EDD3-4AB8-84B6-57DBBD292C90}">
  <ds:schemaRefs/>
</ds:datastoreItem>
</file>

<file path=customXml/itemProps2.xml><?xml version="1.0" encoding="utf-8"?>
<ds:datastoreItem xmlns:ds="http://schemas.openxmlformats.org/officeDocument/2006/customXml" ds:itemID="{4567D935-6BFA-44F7-96E9-E3D25F7B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3035</Words>
  <Characters>15176</Characters>
  <Application>Microsoft Office Word</Application>
  <DocSecurity>0</DocSecurity>
  <Lines>126</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2024-08-05T10:02:00Z</dcterms:created>
  <dcterms:modified xsi:type="dcterms:W3CDTF">2024-08-05T10:02:00Z</dcterms:modified>
</cp:coreProperties>
</file>